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F1" w:rsidRPr="00205AF1" w:rsidRDefault="00205AF1" w:rsidP="00491580">
      <w:pPr>
        <w:pStyle w:val="BodyText"/>
        <w:ind w:left="990" w:right="-450" w:hanging="990"/>
        <w:rPr>
          <w:b/>
          <w:sz w:val="20"/>
        </w:rPr>
      </w:pPr>
      <w:r w:rsidRPr="00205AF1">
        <w:rPr>
          <w:b/>
          <w:sz w:val="20"/>
        </w:rPr>
        <w:t>PART A – EXPLANATORY NOTES PURSUANT TO FINANCIAL REPORTING STANDARD 134: INTERIM FINANCIAL REPORTING ISSUED BY THE MALAYSIAN ACCOUNTING STANDARDS BOARD</w:t>
      </w:r>
    </w:p>
    <w:p w:rsidR="00205AF1" w:rsidRDefault="00205AF1" w:rsidP="00491580">
      <w:pPr>
        <w:pStyle w:val="BodyText"/>
        <w:ind w:right="-450" w:hanging="1800"/>
        <w:rPr>
          <w:sz w:val="20"/>
        </w:rPr>
      </w:pPr>
    </w:p>
    <w:p w:rsidR="00205AF1" w:rsidRDefault="00205AF1" w:rsidP="00491580">
      <w:pPr>
        <w:pStyle w:val="BodyText"/>
        <w:ind w:right="-450" w:hanging="1800"/>
        <w:rPr>
          <w:sz w:val="20"/>
        </w:rPr>
      </w:pPr>
    </w:p>
    <w:p w:rsidR="0059386B" w:rsidRDefault="0059386B" w:rsidP="00491580">
      <w:pPr>
        <w:pStyle w:val="BodyText"/>
        <w:ind w:right="-450" w:hanging="1800"/>
        <w:rPr>
          <w:b/>
          <w:sz w:val="20"/>
        </w:rPr>
      </w:pPr>
      <w:r>
        <w:rPr>
          <w:sz w:val="20"/>
        </w:rPr>
        <w:t>A1</w:t>
      </w:r>
      <w:r>
        <w:rPr>
          <w:sz w:val="20"/>
        </w:rPr>
        <w:tab/>
      </w:r>
      <w:r w:rsidR="00491580">
        <w:rPr>
          <w:sz w:val="20"/>
        </w:rPr>
        <w:t>A1</w:t>
      </w:r>
      <w:r w:rsidR="00491580">
        <w:rPr>
          <w:sz w:val="20"/>
        </w:rPr>
        <w:tab/>
      </w:r>
      <w:r>
        <w:rPr>
          <w:b/>
          <w:sz w:val="20"/>
        </w:rPr>
        <w:t>Basis of preparation</w:t>
      </w:r>
    </w:p>
    <w:p w:rsidR="0059386B" w:rsidRDefault="0059386B" w:rsidP="00491580">
      <w:pPr>
        <w:pStyle w:val="BodyText"/>
        <w:ind w:left="720" w:right="-450" w:hanging="1800"/>
        <w:rPr>
          <w:sz w:val="20"/>
        </w:rPr>
      </w:pPr>
    </w:p>
    <w:p w:rsidR="0059386B" w:rsidRDefault="00491580" w:rsidP="00491580">
      <w:pPr>
        <w:pStyle w:val="BodyText"/>
        <w:ind w:left="720" w:right="-450" w:hanging="1800"/>
        <w:rPr>
          <w:sz w:val="20"/>
        </w:rPr>
      </w:pPr>
      <w:r>
        <w:rPr>
          <w:sz w:val="20"/>
        </w:rPr>
        <w:tab/>
      </w:r>
      <w:r w:rsidR="0059386B">
        <w:rPr>
          <w:sz w:val="20"/>
        </w:rPr>
        <w:t xml:space="preserve">The </w:t>
      </w:r>
      <w:r w:rsidR="00C67F9C">
        <w:rPr>
          <w:sz w:val="20"/>
        </w:rPr>
        <w:t>quarterly report h</w:t>
      </w:r>
      <w:r w:rsidR="0059386B">
        <w:rPr>
          <w:sz w:val="20"/>
        </w:rPr>
        <w:t xml:space="preserve">as been prepared on a going concern basis and in accordance with the requirements of FRS 134: Interim Financial Reporting and paragraph 9.22 of the </w:t>
      </w:r>
      <w:r w:rsidR="00924D46">
        <w:rPr>
          <w:sz w:val="20"/>
        </w:rPr>
        <w:t xml:space="preserve">Main Market </w:t>
      </w:r>
      <w:r w:rsidR="0059386B">
        <w:rPr>
          <w:sz w:val="20"/>
        </w:rPr>
        <w:t xml:space="preserve">Listing Requirements of Bursa Malaysia Securities </w:t>
      </w:r>
      <w:proofErr w:type="spellStart"/>
      <w:r w:rsidR="0059386B">
        <w:rPr>
          <w:sz w:val="20"/>
        </w:rPr>
        <w:t>Berhad</w:t>
      </w:r>
      <w:proofErr w:type="spellEnd"/>
      <w:r w:rsidR="0059386B">
        <w:rPr>
          <w:sz w:val="20"/>
        </w:rPr>
        <w:t>.</w:t>
      </w:r>
    </w:p>
    <w:p w:rsidR="0059386B" w:rsidRDefault="0059386B" w:rsidP="00491580">
      <w:pPr>
        <w:pStyle w:val="BodyText"/>
        <w:ind w:left="720" w:right="-450" w:hanging="1800"/>
        <w:rPr>
          <w:b/>
          <w:sz w:val="20"/>
        </w:rPr>
      </w:pPr>
      <w:r>
        <w:rPr>
          <w:sz w:val="20"/>
        </w:rPr>
        <w:tab/>
      </w:r>
    </w:p>
    <w:p w:rsidR="0059386B" w:rsidRDefault="00491580" w:rsidP="00491580">
      <w:pPr>
        <w:pStyle w:val="BodyText"/>
        <w:ind w:left="720" w:right="-450" w:hanging="1800"/>
        <w:rPr>
          <w:sz w:val="20"/>
        </w:rPr>
      </w:pPr>
      <w:r>
        <w:rPr>
          <w:sz w:val="20"/>
        </w:rPr>
        <w:tab/>
      </w:r>
      <w:r w:rsidR="0059386B">
        <w:rPr>
          <w:sz w:val="20"/>
        </w:rPr>
        <w:t>Th</w:t>
      </w:r>
      <w:r w:rsidR="00902A3D">
        <w:rPr>
          <w:sz w:val="20"/>
        </w:rPr>
        <w:t>is</w:t>
      </w:r>
      <w:r w:rsidR="0059386B">
        <w:rPr>
          <w:sz w:val="20"/>
        </w:rPr>
        <w:t xml:space="preserve"> </w:t>
      </w:r>
      <w:r w:rsidR="00C67F9C">
        <w:rPr>
          <w:sz w:val="20"/>
        </w:rPr>
        <w:t>report s</w:t>
      </w:r>
      <w:r w:rsidR="0059386B">
        <w:rPr>
          <w:sz w:val="20"/>
        </w:rPr>
        <w:t>hould be read in conjunction with the audited financial statements for the year ended 31 December 20</w:t>
      </w:r>
      <w:r w:rsidR="004A5ECD">
        <w:rPr>
          <w:sz w:val="20"/>
        </w:rPr>
        <w:t>10</w:t>
      </w:r>
      <w:r w:rsidR="00C67F9C">
        <w:rPr>
          <w:sz w:val="20"/>
        </w:rPr>
        <w:t xml:space="preserve"> and the accompanying </w:t>
      </w:r>
      <w:r w:rsidR="0059386B">
        <w:rPr>
          <w:sz w:val="20"/>
        </w:rPr>
        <w:t>explanatory notes</w:t>
      </w:r>
      <w:r w:rsidR="00C67F9C">
        <w:rPr>
          <w:sz w:val="20"/>
        </w:rPr>
        <w:t>.  The explanatory notes p</w:t>
      </w:r>
      <w:r w:rsidR="0059386B">
        <w:rPr>
          <w:sz w:val="20"/>
        </w:rPr>
        <w:t>rovide an explanation of events and transactions that are significant for an understanding of the changes in the financial position and performance of the Group since the year ended 31 December 20</w:t>
      </w:r>
      <w:r w:rsidR="004A5ECD">
        <w:rPr>
          <w:sz w:val="20"/>
        </w:rPr>
        <w:t>10</w:t>
      </w:r>
      <w:r w:rsidR="0059386B">
        <w:rPr>
          <w:sz w:val="20"/>
        </w:rPr>
        <w:t>.</w:t>
      </w:r>
    </w:p>
    <w:p w:rsidR="0059386B" w:rsidRDefault="0059386B" w:rsidP="00491580">
      <w:pPr>
        <w:pStyle w:val="BodyText"/>
        <w:ind w:left="720" w:right="-450" w:hanging="1800"/>
        <w:rPr>
          <w:sz w:val="20"/>
        </w:rPr>
      </w:pPr>
    </w:p>
    <w:p w:rsidR="004F717C" w:rsidRDefault="004F717C" w:rsidP="00491580">
      <w:pPr>
        <w:pStyle w:val="BodyText"/>
        <w:ind w:left="720" w:right="-450" w:hanging="1800"/>
        <w:rPr>
          <w:sz w:val="20"/>
        </w:rPr>
      </w:pPr>
    </w:p>
    <w:p w:rsidR="0059386B" w:rsidRPr="00346C33" w:rsidRDefault="0059386B" w:rsidP="00491580">
      <w:pPr>
        <w:pStyle w:val="BodyTextIndent3"/>
        <w:ind w:right="-450"/>
        <w:rPr>
          <w:b/>
        </w:rPr>
      </w:pPr>
      <w:r w:rsidRPr="00346C33">
        <w:t>A2</w:t>
      </w:r>
      <w:r w:rsidRPr="00346C33">
        <w:tab/>
      </w:r>
      <w:r w:rsidRPr="00346C33">
        <w:rPr>
          <w:b/>
        </w:rPr>
        <w:t xml:space="preserve">Changes in </w:t>
      </w:r>
      <w:r w:rsidR="00902A3D" w:rsidRPr="00346C33">
        <w:rPr>
          <w:b/>
        </w:rPr>
        <w:t>accounting p</w:t>
      </w:r>
      <w:r w:rsidRPr="00346C33">
        <w:rPr>
          <w:b/>
        </w:rPr>
        <w:t xml:space="preserve">olicies </w:t>
      </w:r>
      <w:r w:rsidR="00C67F9C" w:rsidRPr="00346C33">
        <w:rPr>
          <w:b/>
        </w:rPr>
        <w:t>arising from the adoption of new/revised</w:t>
      </w:r>
      <w:r w:rsidRPr="00346C33">
        <w:rPr>
          <w:b/>
        </w:rPr>
        <w:t xml:space="preserve"> Financial Reporting Standards (“FRS”)</w:t>
      </w:r>
    </w:p>
    <w:p w:rsidR="00107B2F" w:rsidRPr="00346C33" w:rsidRDefault="00107B2F" w:rsidP="00491580">
      <w:pPr>
        <w:pStyle w:val="BodyTextIndent3"/>
        <w:ind w:right="-450"/>
        <w:rPr>
          <w:b/>
        </w:rPr>
      </w:pPr>
    </w:p>
    <w:p w:rsidR="00346C33" w:rsidRPr="00346C33" w:rsidRDefault="00346C33" w:rsidP="00346C33">
      <w:pPr>
        <w:autoSpaceDE w:val="0"/>
        <w:autoSpaceDN w:val="0"/>
        <w:adjustRightInd w:val="0"/>
        <w:ind w:left="720" w:right="-450"/>
        <w:jc w:val="both"/>
      </w:pPr>
      <w:r w:rsidRPr="00346C33">
        <w:t xml:space="preserve">The significant accounting policies and methods of computation adopted for these interim financial </w:t>
      </w:r>
      <w:r>
        <w:t>s</w:t>
      </w:r>
      <w:r w:rsidRPr="00346C33">
        <w:t>tatements are consistent with those adopted for the audited financial statement for the financial year ended 31 December 2010 except for the adoption of new and revised FRSs, Amendments to FRSs and</w:t>
      </w:r>
      <w:r w:rsidR="007A6B89">
        <w:t xml:space="preserve"> </w:t>
      </w:r>
      <w:r w:rsidRPr="00346C33">
        <w:t>Interpretations as listed in the audited financial statements for the financial year ended 31 December 2010 which were effective for the financial periods beginning on or after 1 January 2011.</w:t>
      </w:r>
    </w:p>
    <w:p w:rsidR="00346C33" w:rsidRPr="00346C33" w:rsidRDefault="00346C33" w:rsidP="00346C33">
      <w:pPr>
        <w:autoSpaceDE w:val="0"/>
        <w:autoSpaceDN w:val="0"/>
        <w:adjustRightInd w:val="0"/>
        <w:ind w:right="-450"/>
        <w:jc w:val="both"/>
      </w:pPr>
    </w:p>
    <w:p w:rsidR="00346C33" w:rsidRPr="00346C33" w:rsidRDefault="00346C33" w:rsidP="00346C33">
      <w:pPr>
        <w:autoSpaceDE w:val="0"/>
        <w:autoSpaceDN w:val="0"/>
        <w:adjustRightInd w:val="0"/>
        <w:ind w:left="720" w:right="-450"/>
        <w:jc w:val="both"/>
      </w:pPr>
      <w:r w:rsidRPr="00346C33">
        <w:t xml:space="preserve">The adoption of the new FRSs, Amendments to FRSs and Interpretations have no significant impact on the financial statements of the Group other than for the application of FRS 7, which will entail the additional disclosures in the 2011 annual financial statements. </w:t>
      </w:r>
    </w:p>
    <w:p w:rsidR="00107B2F" w:rsidRDefault="00107B2F" w:rsidP="00346C33">
      <w:pPr>
        <w:pStyle w:val="BodyTextIndent3"/>
        <w:ind w:right="-450"/>
      </w:pPr>
      <w:r>
        <w:tab/>
      </w:r>
    </w:p>
    <w:p w:rsidR="008A3010" w:rsidRDefault="00107B2F" w:rsidP="00346C33">
      <w:pPr>
        <w:tabs>
          <w:tab w:val="left" w:pos="720"/>
        </w:tabs>
        <w:ind w:right="-450"/>
        <w:jc w:val="both"/>
      </w:pPr>
      <w:r>
        <w:tab/>
      </w:r>
      <w:r w:rsidR="0016582F">
        <w:tab/>
      </w:r>
    </w:p>
    <w:p w:rsidR="0059386B" w:rsidRDefault="00491580" w:rsidP="00491580">
      <w:pPr>
        <w:pStyle w:val="BodyText"/>
        <w:ind w:right="-450" w:hanging="1800"/>
        <w:rPr>
          <w:b/>
          <w:snapToGrid/>
          <w:color w:val="auto"/>
          <w:sz w:val="20"/>
        </w:rPr>
      </w:pPr>
      <w:r>
        <w:rPr>
          <w:sz w:val="20"/>
        </w:rPr>
        <w:t>A3</w:t>
      </w:r>
      <w:r>
        <w:rPr>
          <w:sz w:val="20"/>
        </w:rPr>
        <w:tab/>
      </w:r>
      <w:r w:rsidR="00E56B7A">
        <w:rPr>
          <w:sz w:val="20"/>
        </w:rPr>
        <w:t>A3</w:t>
      </w:r>
      <w:r w:rsidR="00E56B7A">
        <w:rPr>
          <w:sz w:val="20"/>
        </w:rPr>
        <w:tab/>
      </w:r>
      <w:r w:rsidR="0059386B" w:rsidRPr="00EE0BF5">
        <w:rPr>
          <w:b/>
          <w:snapToGrid/>
          <w:color w:val="auto"/>
          <w:sz w:val="20"/>
        </w:rPr>
        <w:t>Seasonal or cyclical factors</w:t>
      </w:r>
    </w:p>
    <w:p w:rsidR="00EE0BF5" w:rsidRDefault="00EE0BF5" w:rsidP="00491580">
      <w:pPr>
        <w:pStyle w:val="BodyText"/>
        <w:ind w:right="-450" w:hanging="1800"/>
        <w:rPr>
          <w:b/>
          <w:sz w:val="20"/>
        </w:rPr>
      </w:pPr>
    </w:p>
    <w:p w:rsidR="0059386B" w:rsidRDefault="00491580" w:rsidP="00491580">
      <w:pPr>
        <w:pStyle w:val="BodyText"/>
        <w:ind w:left="720" w:right="-450" w:hanging="1800"/>
        <w:rPr>
          <w:sz w:val="20"/>
        </w:rPr>
      </w:pPr>
      <w:r>
        <w:rPr>
          <w:sz w:val="20"/>
        </w:rPr>
        <w:tab/>
      </w:r>
      <w:r w:rsidR="0059386B">
        <w:rPr>
          <w:sz w:val="20"/>
        </w:rPr>
        <w:t xml:space="preserve">The operations of the Group were not materially affected by any seasonal or cyclical factors except for the </w:t>
      </w:r>
      <w:r w:rsidR="00382942">
        <w:rPr>
          <w:sz w:val="20"/>
        </w:rPr>
        <w:t xml:space="preserve">Papua New Guinea </w:t>
      </w:r>
      <w:r w:rsidR="00EE0BF5">
        <w:rPr>
          <w:sz w:val="20"/>
        </w:rPr>
        <w:t>Agriculture</w:t>
      </w:r>
      <w:r w:rsidR="00FD7DA5">
        <w:rPr>
          <w:sz w:val="20"/>
        </w:rPr>
        <w:t xml:space="preserve"> </w:t>
      </w:r>
      <w:r w:rsidR="00382942">
        <w:rPr>
          <w:sz w:val="20"/>
        </w:rPr>
        <w:t>Segment</w:t>
      </w:r>
      <w:r w:rsidR="0059386B">
        <w:rPr>
          <w:sz w:val="20"/>
        </w:rPr>
        <w:t>.</w:t>
      </w:r>
    </w:p>
    <w:p w:rsidR="00CB116E" w:rsidRDefault="00CB116E" w:rsidP="00491580">
      <w:pPr>
        <w:pStyle w:val="BodyText"/>
        <w:ind w:left="720" w:right="-450" w:hanging="1800"/>
        <w:rPr>
          <w:sz w:val="20"/>
        </w:rPr>
      </w:pPr>
    </w:p>
    <w:p w:rsidR="00544045" w:rsidRDefault="00544045" w:rsidP="00491580">
      <w:pPr>
        <w:pStyle w:val="BodyText"/>
        <w:ind w:left="720" w:right="-450" w:hanging="1800"/>
        <w:rPr>
          <w:sz w:val="20"/>
        </w:rPr>
      </w:pPr>
    </w:p>
    <w:p w:rsidR="00544045" w:rsidRDefault="00544045" w:rsidP="00491580">
      <w:pPr>
        <w:pStyle w:val="BodyText"/>
        <w:ind w:left="720" w:right="-450" w:hanging="1800"/>
        <w:rPr>
          <w:sz w:val="20"/>
        </w:rPr>
      </w:pPr>
    </w:p>
    <w:p w:rsidR="0059386B" w:rsidRDefault="00491580" w:rsidP="00491580">
      <w:pPr>
        <w:pStyle w:val="BodyText"/>
        <w:ind w:right="-450" w:hanging="1440"/>
        <w:rPr>
          <w:b/>
          <w:sz w:val="20"/>
        </w:rPr>
      </w:pPr>
      <w:r>
        <w:rPr>
          <w:sz w:val="20"/>
        </w:rPr>
        <w:tab/>
      </w:r>
      <w:r w:rsidR="0059386B">
        <w:rPr>
          <w:sz w:val="20"/>
        </w:rPr>
        <w:t>A</w:t>
      </w:r>
      <w:r w:rsidR="00ED07B6">
        <w:rPr>
          <w:sz w:val="20"/>
        </w:rPr>
        <w:t>4</w:t>
      </w:r>
      <w:r w:rsidR="0059386B">
        <w:rPr>
          <w:sz w:val="20"/>
        </w:rPr>
        <w:tab/>
      </w:r>
      <w:r w:rsidR="0059386B">
        <w:rPr>
          <w:b/>
          <w:sz w:val="20"/>
        </w:rPr>
        <w:t>Unusual items due to their nature, size or incidence</w:t>
      </w:r>
    </w:p>
    <w:p w:rsidR="00524F8B" w:rsidRDefault="00524F8B" w:rsidP="00491580">
      <w:pPr>
        <w:pStyle w:val="BodyText"/>
        <w:ind w:left="720" w:right="-450" w:hanging="1800"/>
        <w:rPr>
          <w:sz w:val="20"/>
        </w:rPr>
      </w:pPr>
    </w:p>
    <w:p w:rsidR="00534B4B" w:rsidRDefault="0059386B" w:rsidP="004773F8">
      <w:pPr>
        <w:pStyle w:val="BodyText"/>
        <w:ind w:left="720" w:right="-450" w:hanging="1800"/>
        <w:rPr>
          <w:sz w:val="20"/>
        </w:rPr>
      </w:pPr>
      <w:r>
        <w:rPr>
          <w:sz w:val="20"/>
        </w:rPr>
        <w:tab/>
      </w:r>
      <w:r w:rsidR="00534B4B">
        <w:rPr>
          <w:sz w:val="20"/>
        </w:rPr>
        <w:t xml:space="preserve">Included in other income </w:t>
      </w:r>
      <w:r w:rsidR="00844FF0">
        <w:rPr>
          <w:sz w:val="20"/>
        </w:rPr>
        <w:t>is</w:t>
      </w:r>
      <w:r w:rsidR="00534B4B">
        <w:rPr>
          <w:sz w:val="20"/>
        </w:rPr>
        <w:t xml:space="preserve"> the following non-recurring item:-</w:t>
      </w:r>
    </w:p>
    <w:p w:rsidR="00534B4B" w:rsidRDefault="00534B4B" w:rsidP="00491580">
      <w:pPr>
        <w:pStyle w:val="BodyText"/>
        <w:ind w:left="720" w:right="-450" w:hanging="1800"/>
        <w:rPr>
          <w:sz w:val="20"/>
        </w:rPr>
      </w:pPr>
      <w:r>
        <w:rPr>
          <w:sz w:val="20"/>
        </w:rPr>
        <w:tab/>
      </w:r>
    </w:p>
    <w:tbl>
      <w:tblPr>
        <w:tblW w:w="9180" w:type="dxa"/>
        <w:tblInd w:w="828" w:type="dxa"/>
        <w:tblLayout w:type="fixed"/>
        <w:tblLook w:val="0000"/>
      </w:tblPr>
      <w:tblGrid>
        <w:gridCol w:w="540"/>
        <w:gridCol w:w="2520"/>
        <w:gridCol w:w="1170"/>
        <w:gridCol w:w="1890"/>
        <w:gridCol w:w="1170"/>
        <w:gridCol w:w="1890"/>
      </w:tblGrid>
      <w:tr w:rsidR="00FA5342" w:rsidTr="0046391E">
        <w:trPr>
          <w:cantSplit/>
        </w:trPr>
        <w:tc>
          <w:tcPr>
            <w:tcW w:w="540" w:type="dxa"/>
          </w:tcPr>
          <w:p w:rsidR="00FA5342" w:rsidRDefault="00FA5342" w:rsidP="00491580">
            <w:pPr>
              <w:pStyle w:val="BodyText"/>
              <w:ind w:right="-450" w:hanging="1800"/>
              <w:rPr>
                <w:sz w:val="20"/>
              </w:rPr>
            </w:pPr>
          </w:p>
        </w:tc>
        <w:tc>
          <w:tcPr>
            <w:tcW w:w="2520" w:type="dxa"/>
          </w:tcPr>
          <w:p w:rsidR="00FA5342" w:rsidRDefault="00FA5342" w:rsidP="00491580">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FA5342" w:rsidRDefault="00FA5342" w:rsidP="00A12F68">
            <w:pPr>
              <w:pStyle w:val="BodyText"/>
              <w:tabs>
                <w:tab w:val="left" w:pos="360"/>
                <w:tab w:val="left" w:pos="540"/>
                <w:tab w:val="left" w:pos="630"/>
                <w:tab w:val="left" w:pos="1080"/>
              </w:tabs>
              <w:ind w:right="-108" w:hanging="108"/>
              <w:jc w:val="center"/>
              <w:rPr>
                <w:b/>
                <w:sz w:val="18"/>
              </w:rPr>
            </w:pPr>
            <w:r>
              <w:rPr>
                <w:b/>
                <w:sz w:val="18"/>
              </w:rPr>
              <w:t>INDIVIDUAL QUARTER</w:t>
            </w:r>
          </w:p>
        </w:tc>
        <w:tc>
          <w:tcPr>
            <w:tcW w:w="3060" w:type="dxa"/>
            <w:gridSpan w:val="2"/>
            <w:tcBorders>
              <w:top w:val="single" w:sz="4" w:space="0" w:color="auto"/>
              <w:left w:val="nil"/>
              <w:right w:val="single" w:sz="4" w:space="0" w:color="auto"/>
            </w:tcBorders>
          </w:tcPr>
          <w:p w:rsidR="00FA5342" w:rsidRDefault="00FA5342" w:rsidP="00A12F68">
            <w:pPr>
              <w:pStyle w:val="BodyText"/>
              <w:ind w:right="-108" w:hanging="108"/>
              <w:jc w:val="center"/>
              <w:rPr>
                <w:b/>
                <w:sz w:val="18"/>
              </w:rPr>
            </w:pPr>
            <w:r>
              <w:rPr>
                <w:b/>
                <w:sz w:val="18"/>
              </w:rPr>
              <w:t>CUMULATIVE QUARTER</w:t>
            </w:r>
          </w:p>
        </w:tc>
      </w:tr>
      <w:tr w:rsidR="00996F33" w:rsidRPr="00A366C5" w:rsidTr="0046391E">
        <w:tc>
          <w:tcPr>
            <w:tcW w:w="540" w:type="dxa"/>
          </w:tcPr>
          <w:p w:rsidR="00996F33" w:rsidRDefault="00996F33" w:rsidP="00491580">
            <w:pPr>
              <w:pStyle w:val="BodyText"/>
              <w:ind w:left="-108" w:right="-450" w:hanging="1800"/>
              <w:rPr>
                <w:b/>
                <w:sz w:val="20"/>
              </w:rPr>
            </w:pPr>
          </w:p>
        </w:tc>
        <w:tc>
          <w:tcPr>
            <w:tcW w:w="2520" w:type="dxa"/>
          </w:tcPr>
          <w:p w:rsidR="00996F33" w:rsidRDefault="00996F33" w:rsidP="00491580">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996F33" w:rsidRPr="00A366C5" w:rsidRDefault="00996F33" w:rsidP="007C046E">
            <w:pPr>
              <w:pStyle w:val="BodyText"/>
              <w:tabs>
                <w:tab w:val="left" w:pos="360"/>
                <w:tab w:val="left" w:pos="540"/>
                <w:tab w:val="left" w:pos="630"/>
                <w:tab w:val="left" w:pos="1080"/>
              </w:tabs>
              <w:ind w:left="-18" w:right="-18"/>
              <w:jc w:val="center"/>
              <w:rPr>
                <w:b/>
                <w:sz w:val="18"/>
              </w:rPr>
            </w:pPr>
            <w:r w:rsidRPr="00A366C5">
              <w:rPr>
                <w:b/>
                <w:sz w:val="18"/>
              </w:rPr>
              <w:t>CURRENT</w:t>
            </w:r>
          </w:p>
          <w:p w:rsidR="00996F33" w:rsidRPr="00A366C5" w:rsidRDefault="00996F33" w:rsidP="007C046E">
            <w:pPr>
              <w:pStyle w:val="BodyText"/>
              <w:tabs>
                <w:tab w:val="left" w:pos="360"/>
                <w:tab w:val="left" w:pos="540"/>
                <w:tab w:val="left" w:pos="630"/>
                <w:tab w:val="left" w:pos="1080"/>
              </w:tabs>
              <w:ind w:left="-18" w:right="-18"/>
              <w:jc w:val="center"/>
              <w:rPr>
                <w:b/>
                <w:sz w:val="18"/>
              </w:rPr>
            </w:pPr>
            <w:r w:rsidRPr="00A366C5">
              <w:rPr>
                <w:b/>
                <w:sz w:val="18"/>
              </w:rPr>
              <w:t>YEAR</w:t>
            </w:r>
          </w:p>
          <w:p w:rsidR="00996F33" w:rsidRPr="00A366C5" w:rsidRDefault="00996F33" w:rsidP="007C046E">
            <w:pPr>
              <w:pStyle w:val="BodyText"/>
              <w:tabs>
                <w:tab w:val="left" w:pos="360"/>
                <w:tab w:val="left" w:pos="540"/>
                <w:tab w:val="left" w:pos="630"/>
                <w:tab w:val="left" w:pos="1080"/>
              </w:tabs>
              <w:ind w:left="-18" w:right="-18"/>
              <w:jc w:val="center"/>
              <w:rPr>
                <w:b/>
                <w:sz w:val="18"/>
              </w:rPr>
            </w:pPr>
            <w:r w:rsidRPr="00A366C5">
              <w:rPr>
                <w:b/>
                <w:sz w:val="18"/>
              </w:rPr>
              <w:t>QUARTER</w:t>
            </w:r>
          </w:p>
          <w:p w:rsidR="00996F33" w:rsidRPr="00A366C5" w:rsidRDefault="00996F33" w:rsidP="007C046E">
            <w:pPr>
              <w:pStyle w:val="BodyText"/>
              <w:tabs>
                <w:tab w:val="left" w:pos="360"/>
                <w:tab w:val="left" w:pos="540"/>
                <w:tab w:val="left" w:pos="630"/>
                <w:tab w:val="left" w:pos="1080"/>
              </w:tabs>
              <w:ind w:left="-18" w:right="-18"/>
              <w:jc w:val="center"/>
              <w:rPr>
                <w:b/>
                <w:sz w:val="18"/>
              </w:rPr>
            </w:pPr>
            <w:r w:rsidRPr="00A366C5">
              <w:rPr>
                <w:b/>
                <w:sz w:val="18"/>
              </w:rPr>
              <w:t>3</w:t>
            </w:r>
            <w:r w:rsidR="00555F73">
              <w:rPr>
                <w:b/>
                <w:sz w:val="18"/>
              </w:rPr>
              <w:t>1</w:t>
            </w:r>
            <w:r w:rsidRPr="00A366C5">
              <w:rPr>
                <w:b/>
                <w:sz w:val="18"/>
              </w:rPr>
              <w:t>/</w:t>
            </w:r>
            <w:r w:rsidR="004773F8">
              <w:rPr>
                <w:b/>
                <w:sz w:val="18"/>
              </w:rPr>
              <w:t>3</w:t>
            </w:r>
            <w:r w:rsidRPr="00A366C5">
              <w:rPr>
                <w:b/>
                <w:sz w:val="18"/>
              </w:rPr>
              <w:t>/20</w:t>
            </w:r>
            <w:r w:rsidR="00765799">
              <w:rPr>
                <w:b/>
                <w:sz w:val="18"/>
              </w:rPr>
              <w:t>1</w:t>
            </w:r>
            <w:r w:rsidR="004773F8">
              <w:rPr>
                <w:b/>
                <w:sz w:val="18"/>
              </w:rPr>
              <w:t>1</w:t>
            </w:r>
          </w:p>
          <w:p w:rsidR="00996F33" w:rsidRPr="00A366C5" w:rsidRDefault="00996F33" w:rsidP="007C046E">
            <w:pPr>
              <w:pStyle w:val="BodyText"/>
              <w:tabs>
                <w:tab w:val="left" w:pos="360"/>
                <w:tab w:val="left" w:pos="540"/>
                <w:tab w:val="left" w:pos="630"/>
                <w:tab w:val="left" w:pos="1080"/>
              </w:tabs>
              <w:ind w:left="-18" w:right="-18"/>
              <w:jc w:val="center"/>
              <w:rPr>
                <w:b/>
                <w:sz w:val="18"/>
              </w:rPr>
            </w:pPr>
            <w:r w:rsidRPr="00A366C5">
              <w:rPr>
                <w:b/>
                <w:sz w:val="18"/>
              </w:rPr>
              <w:t>RM’000</w:t>
            </w:r>
          </w:p>
        </w:tc>
        <w:tc>
          <w:tcPr>
            <w:tcW w:w="1890" w:type="dxa"/>
            <w:tcBorders>
              <w:top w:val="single" w:sz="4" w:space="0" w:color="auto"/>
              <w:left w:val="nil"/>
              <w:bottom w:val="single" w:sz="4" w:space="0" w:color="auto"/>
              <w:right w:val="single" w:sz="4" w:space="0" w:color="auto"/>
            </w:tcBorders>
          </w:tcPr>
          <w:p w:rsidR="00996F33" w:rsidRPr="00A366C5" w:rsidRDefault="00996F33" w:rsidP="007C046E">
            <w:pPr>
              <w:pStyle w:val="BodyText"/>
              <w:tabs>
                <w:tab w:val="left" w:pos="360"/>
                <w:tab w:val="left" w:pos="540"/>
                <w:tab w:val="left" w:pos="630"/>
                <w:tab w:val="left" w:pos="1080"/>
              </w:tabs>
              <w:ind w:left="-108" w:right="-108"/>
              <w:jc w:val="center"/>
              <w:rPr>
                <w:b/>
                <w:sz w:val="18"/>
              </w:rPr>
            </w:pPr>
            <w:r w:rsidRPr="00A366C5">
              <w:rPr>
                <w:b/>
                <w:sz w:val="18"/>
              </w:rPr>
              <w:t>PRECEDING YEAR</w:t>
            </w:r>
          </w:p>
          <w:p w:rsidR="00996F33" w:rsidRPr="00A366C5" w:rsidRDefault="00996F33" w:rsidP="007C046E">
            <w:pPr>
              <w:pStyle w:val="BodyText"/>
              <w:tabs>
                <w:tab w:val="left" w:pos="360"/>
                <w:tab w:val="left" w:pos="540"/>
                <w:tab w:val="left" w:pos="630"/>
                <w:tab w:val="left" w:pos="1080"/>
              </w:tabs>
              <w:ind w:left="-108" w:right="-108"/>
              <w:jc w:val="center"/>
              <w:rPr>
                <w:b/>
                <w:sz w:val="18"/>
              </w:rPr>
            </w:pPr>
            <w:r w:rsidRPr="00A366C5">
              <w:rPr>
                <w:b/>
                <w:sz w:val="18"/>
              </w:rPr>
              <w:t>CORRESPONDING</w:t>
            </w:r>
          </w:p>
          <w:p w:rsidR="00996F33" w:rsidRPr="00A366C5" w:rsidRDefault="00996F33" w:rsidP="007C046E">
            <w:pPr>
              <w:pStyle w:val="BodyText"/>
              <w:tabs>
                <w:tab w:val="left" w:pos="360"/>
                <w:tab w:val="left" w:pos="540"/>
                <w:tab w:val="left" w:pos="630"/>
                <w:tab w:val="left" w:pos="1080"/>
              </w:tabs>
              <w:ind w:left="-108" w:right="-108"/>
              <w:jc w:val="center"/>
              <w:rPr>
                <w:b/>
                <w:sz w:val="18"/>
              </w:rPr>
            </w:pPr>
            <w:r w:rsidRPr="00A366C5">
              <w:rPr>
                <w:b/>
                <w:sz w:val="18"/>
              </w:rPr>
              <w:t>QUARTER</w:t>
            </w:r>
          </w:p>
          <w:p w:rsidR="00996F33" w:rsidRPr="00A366C5" w:rsidRDefault="00996F33" w:rsidP="007C046E">
            <w:pPr>
              <w:pStyle w:val="BodyText"/>
              <w:tabs>
                <w:tab w:val="left" w:pos="360"/>
                <w:tab w:val="left" w:pos="540"/>
                <w:tab w:val="left" w:pos="630"/>
                <w:tab w:val="left" w:pos="1080"/>
              </w:tabs>
              <w:ind w:left="-108" w:right="-108"/>
              <w:jc w:val="center"/>
              <w:rPr>
                <w:b/>
                <w:sz w:val="18"/>
              </w:rPr>
            </w:pPr>
            <w:r w:rsidRPr="00A366C5">
              <w:rPr>
                <w:b/>
                <w:sz w:val="18"/>
              </w:rPr>
              <w:t>3</w:t>
            </w:r>
            <w:r w:rsidR="00555F73">
              <w:rPr>
                <w:b/>
                <w:sz w:val="18"/>
              </w:rPr>
              <w:t>1</w:t>
            </w:r>
            <w:r w:rsidRPr="00A366C5">
              <w:rPr>
                <w:b/>
                <w:sz w:val="18"/>
              </w:rPr>
              <w:t>/</w:t>
            </w:r>
            <w:r w:rsidR="004773F8">
              <w:rPr>
                <w:b/>
                <w:sz w:val="18"/>
              </w:rPr>
              <w:t>3</w:t>
            </w:r>
            <w:r w:rsidRPr="00A366C5">
              <w:rPr>
                <w:b/>
                <w:sz w:val="18"/>
              </w:rPr>
              <w:t>/20</w:t>
            </w:r>
            <w:r w:rsidR="004773F8">
              <w:rPr>
                <w:b/>
                <w:sz w:val="18"/>
              </w:rPr>
              <w:t>10</w:t>
            </w:r>
          </w:p>
          <w:p w:rsidR="00996F33" w:rsidRPr="00A366C5" w:rsidRDefault="00996F33" w:rsidP="007C046E">
            <w:pPr>
              <w:pStyle w:val="BodyText"/>
              <w:tabs>
                <w:tab w:val="left" w:pos="360"/>
                <w:tab w:val="left" w:pos="540"/>
                <w:tab w:val="left" w:pos="630"/>
                <w:tab w:val="left" w:pos="1080"/>
              </w:tabs>
              <w:ind w:left="-108" w:right="-108"/>
              <w:jc w:val="center"/>
              <w:rPr>
                <w:b/>
                <w:sz w:val="18"/>
              </w:rPr>
            </w:pPr>
            <w:r w:rsidRPr="00A366C5">
              <w:rPr>
                <w:b/>
                <w:sz w:val="18"/>
              </w:rPr>
              <w:t>RM’000</w:t>
            </w:r>
          </w:p>
        </w:tc>
        <w:tc>
          <w:tcPr>
            <w:tcW w:w="1170" w:type="dxa"/>
            <w:tcBorders>
              <w:top w:val="single" w:sz="4" w:space="0" w:color="auto"/>
              <w:left w:val="nil"/>
              <w:bottom w:val="single" w:sz="4" w:space="0" w:color="auto"/>
              <w:right w:val="single" w:sz="4" w:space="0" w:color="auto"/>
            </w:tcBorders>
          </w:tcPr>
          <w:p w:rsidR="00996F33" w:rsidRPr="00A366C5" w:rsidRDefault="00996F33" w:rsidP="007C046E">
            <w:pPr>
              <w:pStyle w:val="BodyText"/>
              <w:tabs>
                <w:tab w:val="left" w:pos="360"/>
                <w:tab w:val="left" w:pos="540"/>
                <w:tab w:val="left" w:pos="630"/>
                <w:tab w:val="left" w:pos="1080"/>
              </w:tabs>
              <w:ind w:right="-108" w:hanging="108"/>
              <w:jc w:val="center"/>
              <w:rPr>
                <w:b/>
                <w:sz w:val="18"/>
              </w:rPr>
            </w:pPr>
            <w:r w:rsidRPr="00A366C5">
              <w:rPr>
                <w:b/>
                <w:sz w:val="18"/>
              </w:rPr>
              <w:t>CURRENT</w:t>
            </w:r>
          </w:p>
          <w:p w:rsidR="00996F33" w:rsidRPr="00A366C5" w:rsidRDefault="00996F33" w:rsidP="007C046E">
            <w:pPr>
              <w:pStyle w:val="BodyText"/>
              <w:tabs>
                <w:tab w:val="left" w:pos="360"/>
                <w:tab w:val="left" w:pos="540"/>
                <w:tab w:val="left" w:pos="630"/>
                <w:tab w:val="left" w:pos="1080"/>
              </w:tabs>
              <w:ind w:right="-108" w:hanging="108"/>
              <w:jc w:val="center"/>
              <w:rPr>
                <w:b/>
                <w:sz w:val="18"/>
              </w:rPr>
            </w:pPr>
            <w:r w:rsidRPr="00A366C5">
              <w:rPr>
                <w:b/>
                <w:sz w:val="18"/>
              </w:rPr>
              <w:t>YEAR TO DATE</w:t>
            </w:r>
          </w:p>
          <w:p w:rsidR="004773F8" w:rsidRPr="00A366C5" w:rsidRDefault="004773F8" w:rsidP="004773F8">
            <w:pPr>
              <w:pStyle w:val="BodyText"/>
              <w:tabs>
                <w:tab w:val="left" w:pos="360"/>
                <w:tab w:val="left" w:pos="540"/>
                <w:tab w:val="left" w:pos="630"/>
                <w:tab w:val="left" w:pos="1080"/>
              </w:tabs>
              <w:ind w:left="-18" w:right="-18"/>
              <w:jc w:val="center"/>
              <w:rPr>
                <w:b/>
                <w:sz w:val="18"/>
              </w:rPr>
            </w:pPr>
            <w:r w:rsidRPr="00A366C5">
              <w:rPr>
                <w:b/>
                <w:sz w:val="18"/>
              </w:rPr>
              <w:t>3</w:t>
            </w:r>
            <w:r>
              <w:rPr>
                <w:b/>
                <w:sz w:val="18"/>
              </w:rPr>
              <w:t>1</w:t>
            </w:r>
            <w:r w:rsidRPr="00A366C5">
              <w:rPr>
                <w:b/>
                <w:sz w:val="18"/>
              </w:rPr>
              <w:t>/</w:t>
            </w:r>
            <w:r>
              <w:rPr>
                <w:b/>
                <w:sz w:val="18"/>
              </w:rPr>
              <w:t>3</w:t>
            </w:r>
            <w:r w:rsidRPr="00A366C5">
              <w:rPr>
                <w:b/>
                <w:sz w:val="18"/>
              </w:rPr>
              <w:t>/20</w:t>
            </w:r>
            <w:r>
              <w:rPr>
                <w:b/>
                <w:sz w:val="18"/>
              </w:rPr>
              <w:t>11</w:t>
            </w:r>
          </w:p>
          <w:p w:rsidR="00996F33" w:rsidRPr="00A366C5" w:rsidRDefault="00996F33" w:rsidP="007C046E">
            <w:pPr>
              <w:pStyle w:val="BodyText"/>
              <w:tabs>
                <w:tab w:val="left" w:pos="360"/>
                <w:tab w:val="left" w:pos="540"/>
                <w:tab w:val="left" w:pos="630"/>
                <w:tab w:val="left" w:pos="1080"/>
              </w:tabs>
              <w:ind w:right="-108" w:hanging="108"/>
              <w:jc w:val="center"/>
              <w:rPr>
                <w:b/>
                <w:sz w:val="18"/>
              </w:rPr>
            </w:pPr>
            <w:r w:rsidRPr="00A366C5">
              <w:rPr>
                <w:b/>
                <w:sz w:val="18"/>
              </w:rPr>
              <w:t>RM’000</w:t>
            </w:r>
          </w:p>
        </w:tc>
        <w:tc>
          <w:tcPr>
            <w:tcW w:w="1890" w:type="dxa"/>
            <w:tcBorders>
              <w:top w:val="single" w:sz="4" w:space="0" w:color="auto"/>
              <w:left w:val="nil"/>
              <w:bottom w:val="single" w:sz="4" w:space="0" w:color="auto"/>
              <w:right w:val="single" w:sz="4" w:space="0" w:color="auto"/>
            </w:tcBorders>
          </w:tcPr>
          <w:p w:rsidR="00996F33" w:rsidRPr="00A366C5" w:rsidRDefault="00996F33" w:rsidP="007C046E">
            <w:pPr>
              <w:pStyle w:val="BodyText"/>
              <w:tabs>
                <w:tab w:val="left" w:pos="360"/>
                <w:tab w:val="left" w:pos="540"/>
                <w:tab w:val="left" w:pos="630"/>
                <w:tab w:val="left" w:pos="1080"/>
              </w:tabs>
              <w:ind w:right="-108" w:hanging="108"/>
              <w:jc w:val="center"/>
              <w:rPr>
                <w:b/>
                <w:sz w:val="18"/>
              </w:rPr>
            </w:pPr>
            <w:r w:rsidRPr="00A366C5">
              <w:rPr>
                <w:b/>
                <w:sz w:val="18"/>
              </w:rPr>
              <w:t>PRECEDING YEAR</w:t>
            </w:r>
          </w:p>
          <w:p w:rsidR="00996F33" w:rsidRPr="00A366C5" w:rsidRDefault="00996F33" w:rsidP="007C046E">
            <w:pPr>
              <w:pStyle w:val="BodyText"/>
              <w:tabs>
                <w:tab w:val="left" w:pos="360"/>
                <w:tab w:val="left" w:pos="540"/>
                <w:tab w:val="left" w:pos="630"/>
                <w:tab w:val="left" w:pos="1080"/>
              </w:tabs>
              <w:ind w:right="-108" w:hanging="108"/>
              <w:jc w:val="center"/>
              <w:rPr>
                <w:b/>
                <w:sz w:val="18"/>
              </w:rPr>
            </w:pPr>
            <w:r w:rsidRPr="00A366C5">
              <w:rPr>
                <w:b/>
                <w:sz w:val="18"/>
              </w:rPr>
              <w:t>CORRESPONDING</w:t>
            </w:r>
          </w:p>
          <w:p w:rsidR="00996F33" w:rsidRPr="00A366C5" w:rsidRDefault="00996F33" w:rsidP="007C046E">
            <w:pPr>
              <w:pStyle w:val="BodyText"/>
              <w:tabs>
                <w:tab w:val="left" w:pos="360"/>
                <w:tab w:val="left" w:pos="540"/>
                <w:tab w:val="left" w:pos="630"/>
                <w:tab w:val="left" w:pos="1080"/>
              </w:tabs>
              <w:ind w:right="-108" w:hanging="108"/>
              <w:jc w:val="center"/>
              <w:rPr>
                <w:b/>
                <w:sz w:val="18"/>
              </w:rPr>
            </w:pPr>
            <w:r w:rsidRPr="00A366C5">
              <w:rPr>
                <w:b/>
                <w:sz w:val="18"/>
              </w:rPr>
              <w:t>PERIOD</w:t>
            </w:r>
          </w:p>
          <w:p w:rsidR="004773F8" w:rsidRPr="00A366C5" w:rsidRDefault="004773F8" w:rsidP="004773F8">
            <w:pPr>
              <w:pStyle w:val="BodyText"/>
              <w:tabs>
                <w:tab w:val="left" w:pos="360"/>
                <w:tab w:val="left" w:pos="540"/>
                <w:tab w:val="left" w:pos="630"/>
                <w:tab w:val="left" w:pos="1080"/>
              </w:tabs>
              <w:ind w:left="-108" w:right="-108"/>
              <w:jc w:val="center"/>
              <w:rPr>
                <w:b/>
                <w:sz w:val="18"/>
              </w:rPr>
            </w:pPr>
            <w:r w:rsidRPr="00A366C5">
              <w:rPr>
                <w:b/>
                <w:sz w:val="18"/>
              </w:rPr>
              <w:t>3</w:t>
            </w:r>
            <w:r>
              <w:rPr>
                <w:b/>
                <w:sz w:val="18"/>
              </w:rPr>
              <w:t>1</w:t>
            </w:r>
            <w:r w:rsidRPr="00A366C5">
              <w:rPr>
                <w:b/>
                <w:sz w:val="18"/>
              </w:rPr>
              <w:t>/</w:t>
            </w:r>
            <w:r>
              <w:rPr>
                <w:b/>
                <w:sz w:val="18"/>
              </w:rPr>
              <w:t>3</w:t>
            </w:r>
            <w:r w:rsidRPr="00A366C5">
              <w:rPr>
                <w:b/>
                <w:sz w:val="18"/>
              </w:rPr>
              <w:t>/20</w:t>
            </w:r>
            <w:r>
              <w:rPr>
                <w:b/>
                <w:sz w:val="18"/>
              </w:rPr>
              <w:t>10</w:t>
            </w:r>
          </w:p>
          <w:p w:rsidR="00996F33" w:rsidRPr="00A366C5" w:rsidRDefault="00996F33" w:rsidP="007C046E">
            <w:pPr>
              <w:pStyle w:val="BodyText"/>
              <w:tabs>
                <w:tab w:val="left" w:pos="360"/>
                <w:tab w:val="left" w:pos="540"/>
                <w:tab w:val="left" w:pos="702"/>
                <w:tab w:val="left" w:pos="1080"/>
              </w:tabs>
              <w:ind w:right="-108" w:hanging="108"/>
              <w:jc w:val="center"/>
              <w:rPr>
                <w:b/>
                <w:sz w:val="18"/>
              </w:rPr>
            </w:pPr>
            <w:r w:rsidRPr="00A366C5">
              <w:rPr>
                <w:b/>
                <w:sz w:val="18"/>
              </w:rPr>
              <w:t>RM’000</w:t>
            </w:r>
          </w:p>
        </w:tc>
      </w:tr>
      <w:tr w:rsidR="00DD6A78" w:rsidRPr="00222E05" w:rsidTr="0046391E">
        <w:tc>
          <w:tcPr>
            <w:tcW w:w="540" w:type="dxa"/>
            <w:tcBorders>
              <w:left w:val="nil"/>
            </w:tcBorders>
          </w:tcPr>
          <w:p w:rsidR="00DD6A78" w:rsidRDefault="00DD6A78" w:rsidP="00F840C4">
            <w:pPr>
              <w:pStyle w:val="BodyText"/>
              <w:ind w:left="-108" w:right="-450" w:hanging="28"/>
              <w:jc w:val="center"/>
              <w:rPr>
                <w:sz w:val="20"/>
              </w:rPr>
            </w:pPr>
          </w:p>
        </w:tc>
        <w:tc>
          <w:tcPr>
            <w:tcW w:w="2520" w:type="dxa"/>
            <w:tcBorders>
              <w:left w:val="nil"/>
              <w:right w:val="single" w:sz="4" w:space="0" w:color="auto"/>
            </w:tcBorders>
            <w:shd w:val="clear" w:color="auto" w:fill="auto"/>
          </w:tcPr>
          <w:p w:rsidR="00DD6A78" w:rsidRDefault="00DD6A78" w:rsidP="00A12F68">
            <w:pPr>
              <w:pStyle w:val="BodyText"/>
              <w:ind w:left="-18" w:right="-108" w:hanging="18"/>
              <w:jc w:val="left"/>
              <w:rPr>
                <w:sz w:val="20"/>
              </w:rPr>
            </w:pPr>
            <w:r>
              <w:rPr>
                <w:sz w:val="20"/>
              </w:rPr>
              <w:t>Provision for liabilities no longer required *</w:t>
            </w:r>
          </w:p>
        </w:tc>
        <w:tc>
          <w:tcPr>
            <w:tcW w:w="1170" w:type="dxa"/>
            <w:tcBorders>
              <w:left w:val="single" w:sz="4" w:space="0" w:color="auto"/>
              <w:right w:val="single" w:sz="4" w:space="0" w:color="auto"/>
            </w:tcBorders>
            <w:shd w:val="clear" w:color="auto" w:fill="auto"/>
          </w:tcPr>
          <w:p w:rsidR="00DD6A78" w:rsidRDefault="00DD6A78" w:rsidP="00D00BA1">
            <w:pPr>
              <w:pStyle w:val="BodyText"/>
              <w:ind w:right="-108" w:hanging="108"/>
              <w:jc w:val="center"/>
              <w:rPr>
                <w:sz w:val="20"/>
              </w:rPr>
            </w:pPr>
          </w:p>
          <w:p w:rsidR="00DD6A78" w:rsidRPr="004C30C9" w:rsidRDefault="00DD6A78" w:rsidP="00D00BA1">
            <w:pPr>
              <w:pStyle w:val="BodyText"/>
              <w:ind w:right="-108" w:hanging="108"/>
              <w:jc w:val="center"/>
              <w:rPr>
                <w:sz w:val="20"/>
              </w:rPr>
            </w:pPr>
            <w:r>
              <w:rPr>
                <w:sz w:val="20"/>
              </w:rPr>
              <w:t>-</w:t>
            </w:r>
          </w:p>
        </w:tc>
        <w:tc>
          <w:tcPr>
            <w:tcW w:w="1890" w:type="dxa"/>
            <w:tcBorders>
              <w:left w:val="single" w:sz="4" w:space="0" w:color="auto"/>
              <w:right w:val="single" w:sz="4" w:space="0" w:color="auto"/>
            </w:tcBorders>
            <w:shd w:val="clear" w:color="auto" w:fill="auto"/>
          </w:tcPr>
          <w:p w:rsidR="00DD6A78" w:rsidRPr="004C30C9" w:rsidRDefault="00DD6A78" w:rsidP="00D00BA1">
            <w:pPr>
              <w:pStyle w:val="BodyText"/>
              <w:ind w:right="-108" w:hanging="108"/>
              <w:jc w:val="center"/>
              <w:rPr>
                <w:sz w:val="20"/>
              </w:rPr>
            </w:pPr>
          </w:p>
          <w:p w:rsidR="00DD6A78" w:rsidRPr="004C30C9" w:rsidRDefault="004773F8" w:rsidP="00D00BA1">
            <w:pPr>
              <w:pStyle w:val="BodyText"/>
              <w:ind w:right="-108" w:hanging="108"/>
              <w:jc w:val="center"/>
              <w:rPr>
                <w:sz w:val="20"/>
              </w:rPr>
            </w:pPr>
            <w:r>
              <w:rPr>
                <w:sz w:val="20"/>
              </w:rPr>
              <w:t>17,501</w:t>
            </w:r>
          </w:p>
        </w:tc>
        <w:tc>
          <w:tcPr>
            <w:tcW w:w="1170" w:type="dxa"/>
            <w:tcBorders>
              <w:left w:val="single" w:sz="4" w:space="0" w:color="auto"/>
              <w:right w:val="single" w:sz="4" w:space="0" w:color="auto"/>
            </w:tcBorders>
            <w:shd w:val="clear" w:color="auto" w:fill="auto"/>
          </w:tcPr>
          <w:p w:rsidR="00DD6A78" w:rsidRDefault="00DD6A78" w:rsidP="00D00BA1">
            <w:pPr>
              <w:pStyle w:val="BodyText"/>
              <w:ind w:right="-108" w:hanging="108"/>
              <w:jc w:val="center"/>
              <w:rPr>
                <w:sz w:val="20"/>
              </w:rPr>
            </w:pPr>
          </w:p>
          <w:p w:rsidR="00DD6A78" w:rsidRPr="004C30C9" w:rsidRDefault="004773F8" w:rsidP="00D00BA1">
            <w:pPr>
              <w:pStyle w:val="BodyText"/>
              <w:ind w:right="-108" w:hanging="108"/>
              <w:jc w:val="center"/>
              <w:rPr>
                <w:sz w:val="20"/>
              </w:rPr>
            </w:pPr>
            <w:r>
              <w:rPr>
                <w:sz w:val="20"/>
              </w:rPr>
              <w:t>-</w:t>
            </w:r>
          </w:p>
        </w:tc>
        <w:tc>
          <w:tcPr>
            <w:tcW w:w="1890" w:type="dxa"/>
            <w:tcBorders>
              <w:left w:val="single" w:sz="4" w:space="0" w:color="auto"/>
              <w:right w:val="single" w:sz="4" w:space="0" w:color="auto"/>
            </w:tcBorders>
            <w:shd w:val="clear" w:color="auto" w:fill="auto"/>
          </w:tcPr>
          <w:p w:rsidR="00DD6A78" w:rsidRPr="004C30C9" w:rsidRDefault="00DD6A78" w:rsidP="00D00BA1">
            <w:pPr>
              <w:pStyle w:val="BodyText"/>
              <w:ind w:right="-108" w:hanging="108"/>
              <w:jc w:val="center"/>
              <w:rPr>
                <w:sz w:val="20"/>
              </w:rPr>
            </w:pPr>
          </w:p>
          <w:p w:rsidR="00DD6A78" w:rsidRPr="004C30C9" w:rsidRDefault="004773F8" w:rsidP="00D00BA1">
            <w:pPr>
              <w:pStyle w:val="BodyText"/>
              <w:ind w:right="-108" w:hanging="108"/>
              <w:jc w:val="center"/>
              <w:rPr>
                <w:sz w:val="20"/>
              </w:rPr>
            </w:pPr>
            <w:r>
              <w:rPr>
                <w:sz w:val="20"/>
              </w:rPr>
              <w:t>17,501</w:t>
            </w:r>
          </w:p>
        </w:tc>
      </w:tr>
      <w:tr w:rsidR="00DD6A78" w:rsidRPr="00222E05" w:rsidTr="0046391E">
        <w:tc>
          <w:tcPr>
            <w:tcW w:w="540" w:type="dxa"/>
            <w:tcBorders>
              <w:left w:val="nil"/>
            </w:tcBorders>
          </w:tcPr>
          <w:p w:rsidR="00DD6A78" w:rsidRPr="00A366C5" w:rsidRDefault="00DD6A78" w:rsidP="00491580">
            <w:pPr>
              <w:pStyle w:val="BodyText"/>
              <w:ind w:right="-450" w:hanging="1800"/>
              <w:rPr>
                <w:sz w:val="20"/>
              </w:rPr>
            </w:pPr>
          </w:p>
        </w:tc>
        <w:tc>
          <w:tcPr>
            <w:tcW w:w="2520" w:type="dxa"/>
            <w:tcBorders>
              <w:left w:val="nil"/>
              <w:right w:val="single" w:sz="4" w:space="0" w:color="auto"/>
            </w:tcBorders>
            <w:shd w:val="clear" w:color="auto" w:fill="auto"/>
          </w:tcPr>
          <w:p w:rsidR="00DD6A78" w:rsidRPr="00A366C5" w:rsidRDefault="00DD6A78" w:rsidP="00491580">
            <w:pPr>
              <w:pStyle w:val="BodyText"/>
              <w:ind w:right="-450" w:hanging="1800"/>
              <w:rPr>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DD6A78" w:rsidRPr="0065450F" w:rsidRDefault="004773F8" w:rsidP="00D00BA1">
            <w:pPr>
              <w:pStyle w:val="BodyText"/>
              <w:ind w:right="-108" w:hanging="108"/>
              <w:jc w:val="center"/>
              <w:rPr>
                <w:sz w:val="20"/>
              </w:rPr>
            </w:pPr>
            <w:r>
              <w:rPr>
                <w:sz w:val="20"/>
              </w:rPr>
              <w:t>-</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DD6A78" w:rsidRPr="0065450F" w:rsidRDefault="004773F8" w:rsidP="00D00BA1">
            <w:pPr>
              <w:pStyle w:val="BodyText"/>
              <w:ind w:right="-108" w:hanging="108"/>
              <w:jc w:val="center"/>
              <w:rPr>
                <w:sz w:val="20"/>
              </w:rPr>
            </w:pPr>
            <w:r>
              <w:rPr>
                <w:sz w:val="20"/>
              </w:rPr>
              <w:t>17,501</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DD6A78" w:rsidRPr="0065450F" w:rsidRDefault="004773F8" w:rsidP="00D00BA1">
            <w:pPr>
              <w:pStyle w:val="BodyText"/>
              <w:ind w:right="-108" w:hanging="108"/>
              <w:jc w:val="center"/>
              <w:rPr>
                <w:sz w:val="20"/>
              </w:rPr>
            </w:pPr>
            <w:r>
              <w:rPr>
                <w:sz w:val="20"/>
              </w:rPr>
              <w:t>-</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DD6A78" w:rsidRPr="0065450F" w:rsidRDefault="004773F8" w:rsidP="00D00BA1">
            <w:pPr>
              <w:pStyle w:val="BodyText"/>
              <w:ind w:right="-108" w:hanging="108"/>
              <w:jc w:val="center"/>
              <w:rPr>
                <w:sz w:val="20"/>
              </w:rPr>
            </w:pPr>
            <w:r>
              <w:rPr>
                <w:sz w:val="20"/>
              </w:rPr>
              <w:t>17,501</w:t>
            </w:r>
          </w:p>
        </w:tc>
      </w:tr>
      <w:tr w:rsidR="00FA5342" w:rsidRPr="00A366C5" w:rsidTr="0046391E">
        <w:tc>
          <w:tcPr>
            <w:tcW w:w="540" w:type="dxa"/>
          </w:tcPr>
          <w:p w:rsidR="00FA5342" w:rsidRPr="00A366C5" w:rsidRDefault="00FA5342" w:rsidP="00491580">
            <w:pPr>
              <w:pStyle w:val="BodyText"/>
              <w:ind w:right="-450" w:hanging="1800"/>
              <w:rPr>
                <w:sz w:val="20"/>
              </w:rPr>
            </w:pPr>
          </w:p>
        </w:tc>
        <w:tc>
          <w:tcPr>
            <w:tcW w:w="2520" w:type="dxa"/>
          </w:tcPr>
          <w:p w:rsidR="00FA5342" w:rsidRPr="00A366C5" w:rsidRDefault="00FA5342" w:rsidP="00491580">
            <w:pPr>
              <w:pStyle w:val="BodyText"/>
              <w:ind w:right="-450" w:hanging="1800"/>
              <w:rPr>
                <w:sz w:val="20"/>
              </w:rPr>
            </w:pPr>
          </w:p>
        </w:tc>
        <w:tc>
          <w:tcPr>
            <w:tcW w:w="1170" w:type="dxa"/>
            <w:tcBorders>
              <w:top w:val="single" w:sz="12" w:space="0" w:color="auto"/>
            </w:tcBorders>
          </w:tcPr>
          <w:p w:rsidR="00FA5342" w:rsidRPr="0065450F" w:rsidRDefault="00FA5342" w:rsidP="00A12F68">
            <w:pPr>
              <w:pStyle w:val="BodyText"/>
              <w:ind w:right="-108" w:hanging="108"/>
              <w:jc w:val="center"/>
              <w:rPr>
                <w:sz w:val="20"/>
              </w:rPr>
            </w:pPr>
          </w:p>
        </w:tc>
        <w:tc>
          <w:tcPr>
            <w:tcW w:w="1890" w:type="dxa"/>
            <w:tcBorders>
              <w:top w:val="single" w:sz="12" w:space="0" w:color="auto"/>
            </w:tcBorders>
          </w:tcPr>
          <w:p w:rsidR="00FA5342" w:rsidRPr="0065450F" w:rsidRDefault="00FA5342" w:rsidP="00491580">
            <w:pPr>
              <w:pStyle w:val="BodyText"/>
              <w:ind w:right="-450" w:hanging="1800"/>
              <w:jc w:val="center"/>
              <w:rPr>
                <w:sz w:val="20"/>
              </w:rPr>
            </w:pPr>
          </w:p>
        </w:tc>
        <w:tc>
          <w:tcPr>
            <w:tcW w:w="1170" w:type="dxa"/>
            <w:tcBorders>
              <w:top w:val="single" w:sz="12" w:space="0" w:color="auto"/>
            </w:tcBorders>
          </w:tcPr>
          <w:p w:rsidR="00FA5342" w:rsidRPr="0065450F" w:rsidRDefault="00FA5342" w:rsidP="00A12F68">
            <w:pPr>
              <w:pStyle w:val="BodyText"/>
              <w:ind w:right="-108" w:hanging="1800"/>
              <w:jc w:val="center"/>
              <w:rPr>
                <w:sz w:val="20"/>
              </w:rPr>
            </w:pPr>
          </w:p>
        </w:tc>
        <w:tc>
          <w:tcPr>
            <w:tcW w:w="1890" w:type="dxa"/>
            <w:tcBorders>
              <w:top w:val="single" w:sz="12" w:space="0" w:color="auto"/>
            </w:tcBorders>
          </w:tcPr>
          <w:p w:rsidR="00FA5342" w:rsidRPr="0065450F" w:rsidRDefault="00FA5342" w:rsidP="00A12F68">
            <w:pPr>
              <w:pStyle w:val="BodyText"/>
              <w:ind w:right="-108" w:hanging="108"/>
              <w:rPr>
                <w:sz w:val="20"/>
              </w:rPr>
            </w:pPr>
          </w:p>
        </w:tc>
      </w:tr>
    </w:tbl>
    <w:p w:rsidR="00534B4B" w:rsidRDefault="00534B4B" w:rsidP="00491580">
      <w:pPr>
        <w:pStyle w:val="BodyText"/>
        <w:ind w:left="720" w:right="-450" w:hanging="1800"/>
        <w:rPr>
          <w:sz w:val="20"/>
        </w:rPr>
      </w:pPr>
    </w:p>
    <w:p w:rsidR="00A64DFD" w:rsidRDefault="00BF2F5C" w:rsidP="00F6103A">
      <w:pPr>
        <w:pStyle w:val="BodyTextIndent"/>
        <w:ind w:right="-450" w:hanging="1800"/>
        <w:rPr>
          <w:sz w:val="20"/>
        </w:rPr>
      </w:pPr>
      <w:r>
        <w:rPr>
          <w:sz w:val="20"/>
        </w:rPr>
        <w:t xml:space="preserve">   </w:t>
      </w:r>
      <w:r>
        <w:rPr>
          <w:sz w:val="20"/>
        </w:rPr>
        <w:tab/>
        <w:t xml:space="preserve">      </w:t>
      </w:r>
      <w:r w:rsidR="00F6103A">
        <w:rPr>
          <w:sz w:val="20"/>
        </w:rPr>
        <w:t>*</w:t>
      </w:r>
      <w:r>
        <w:rPr>
          <w:sz w:val="20"/>
        </w:rPr>
        <w:t xml:space="preserve">   </w:t>
      </w:r>
      <w:r w:rsidR="00C47160">
        <w:rPr>
          <w:sz w:val="20"/>
        </w:rPr>
        <w:t>Consequent to the r</w:t>
      </w:r>
      <w:r w:rsidR="00A64DFD" w:rsidRPr="00A64DFD">
        <w:rPr>
          <w:sz w:val="20"/>
        </w:rPr>
        <w:t xml:space="preserve">esolution of litigation </w:t>
      </w:r>
      <w:r w:rsidR="00C47160">
        <w:rPr>
          <w:sz w:val="20"/>
        </w:rPr>
        <w:t xml:space="preserve">between MBf Holdings </w:t>
      </w:r>
      <w:proofErr w:type="spellStart"/>
      <w:r w:rsidR="00C47160">
        <w:rPr>
          <w:sz w:val="20"/>
        </w:rPr>
        <w:t>Berhad</w:t>
      </w:r>
      <w:proofErr w:type="spellEnd"/>
      <w:r w:rsidR="00C47160">
        <w:rPr>
          <w:sz w:val="20"/>
        </w:rPr>
        <w:t xml:space="preserve"> and</w:t>
      </w:r>
      <w:r w:rsidR="00A64DFD" w:rsidRPr="00A64DFD">
        <w:rPr>
          <w:sz w:val="20"/>
        </w:rPr>
        <w:t xml:space="preserve"> </w:t>
      </w:r>
      <w:proofErr w:type="spellStart"/>
      <w:r w:rsidR="00A64DFD" w:rsidRPr="00A64DFD">
        <w:rPr>
          <w:sz w:val="20"/>
        </w:rPr>
        <w:t>AmBank</w:t>
      </w:r>
      <w:proofErr w:type="spellEnd"/>
      <w:r w:rsidR="00A64DFD" w:rsidRPr="00A64DFD">
        <w:rPr>
          <w:sz w:val="20"/>
        </w:rPr>
        <w:t xml:space="preserve"> (M) </w:t>
      </w:r>
      <w:proofErr w:type="spellStart"/>
      <w:r w:rsidR="00A64DFD" w:rsidRPr="00A64DFD">
        <w:rPr>
          <w:sz w:val="20"/>
        </w:rPr>
        <w:t>Berhad</w:t>
      </w:r>
      <w:proofErr w:type="spellEnd"/>
      <w:r w:rsidR="00B546B0">
        <w:rPr>
          <w:sz w:val="20"/>
        </w:rPr>
        <w:t>.</w:t>
      </w:r>
    </w:p>
    <w:p w:rsidR="00EF6D56" w:rsidRDefault="00EF6D56" w:rsidP="00F6103A">
      <w:pPr>
        <w:pStyle w:val="BodyTextIndent"/>
        <w:ind w:right="-450" w:hanging="1800"/>
        <w:rPr>
          <w:sz w:val="20"/>
        </w:rPr>
      </w:pPr>
    </w:p>
    <w:p w:rsidR="004773F8" w:rsidRDefault="004773F8" w:rsidP="00F6103A">
      <w:pPr>
        <w:pStyle w:val="BodyTextIndent"/>
        <w:ind w:right="-450" w:hanging="1800"/>
        <w:rPr>
          <w:sz w:val="20"/>
        </w:rPr>
      </w:pPr>
    </w:p>
    <w:p w:rsidR="0059386B" w:rsidRDefault="0059386B" w:rsidP="00FA5342">
      <w:pPr>
        <w:pStyle w:val="BodyText"/>
        <w:ind w:left="720" w:right="-450" w:hanging="720"/>
        <w:rPr>
          <w:b/>
          <w:sz w:val="20"/>
        </w:rPr>
      </w:pPr>
      <w:r>
        <w:rPr>
          <w:sz w:val="20"/>
        </w:rPr>
        <w:lastRenderedPageBreak/>
        <w:t>A</w:t>
      </w:r>
      <w:r w:rsidR="00276675">
        <w:rPr>
          <w:sz w:val="20"/>
        </w:rPr>
        <w:t>5</w:t>
      </w:r>
      <w:r>
        <w:rPr>
          <w:b/>
          <w:sz w:val="20"/>
        </w:rPr>
        <w:tab/>
        <w:t>Changes in estimates</w:t>
      </w:r>
    </w:p>
    <w:p w:rsidR="0059386B" w:rsidRDefault="0059386B" w:rsidP="00491580">
      <w:pPr>
        <w:pStyle w:val="BodyText"/>
        <w:ind w:left="720" w:right="-450" w:hanging="1800"/>
        <w:rPr>
          <w:b/>
          <w:sz w:val="20"/>
        </w:rPr>
      </w:pPr>
    </w:p>
    <w:p w:rsidR="0059386B" w:rsidRDefault="0059386B" w:rsidP="00491580">
      <w:pPr>
        <w:pStyle w:val="BodyText"/>
        <w:ind w:left="720" w:right="-450" w:hanging="1800"/>
        <w:rPr>
          <w:sz w:val="20"/>
        </w:rPr>
      </w:pPr>
      <w:r>
        <w:rPr>
          <w:sz w:val="20"/>
        </w:rPr>
        <w:tab/>
        <w:t xml:space="preserve">There were no changes in estimates that had a material effect on the </w:t>
      </w:r>
      <w:r w:rsidR="00F512D5">
        <w:rPr>
          <w:sz w:val="20"/>
        </w:rPr>
        <w:t>results of the quarter under review.</w:t>
      </w:r>
    </w:p>
    <w:p w:rsidR="00C519DD" w:rsidRDefault="00C519DD" w:rsidP="00491580">
      <w:pPr>
        <w:pStyle w:val="BodyText"/>
        <w:ind w:left="720" w:right="-450" w:hanging="1800"/>
        <w:rPr>
          <w:sz w:val="20"/>
        </w:rPr>
      </w:pPr>
    </w:p>
    <w:p w:rsidR="005C02D7" w:rsidRDefault="005C02D7" w:rsidP="00491580">
      <w:pPr>
        <w:pStyle w:val="BodyText"/>
        <w:ind w:left="720" w:right="-450" w:hanging="1800"/>
        <w:rPr>
          <w:sz w:val="20"/>
        </w:rPr>
      </w:pPr>
    </w:p>
    <w:p w:rsidR="0059386B" w:rsidRDefault="00276675" w:rsidP="00FA5342">
      <w:pPr>
        <w:pStyle w:val="BodyText"/>
        <w:ind w:left="720" w:right="-450" w:hanging="720"/>
        <w:rPr>
          <w:b/>
          <w:sz w:val="20"/>
        </w:rPr>
      </w:pPr>
      <w:r>
        <w:rPr>
          <w:sz w:val="20"/>
        </w:rPr>
        <w:t>A6</w:t>
      </w:r>
      <w:r w:rsidR="0059386B">
        <w:rPr>
          <w:sz w:val="20"/>
        </w:rPr>
        <w:tab/>
      </w:r>
      <w:r w:rsidR="0059386B">
        <w:rPr>
          <w:b/>
          <w:sz w:val="20"/>
        </w:rPr>
        <w:t>Pre-acquisition profits</w:t>
      </w:r>
    </w:p>
    <w:p w:rsidR="0059386B" w:rsidRDefault="0059386B" w:rsidP="00FA5342">
      <w:pPr>
        <w:pStyle w:val="BodyText"/>
        <w:ind w:left="720" w:right="-450" w:hanging="720"/>
        <w:rPr>
          <w:sz w:val="20"/>
        </w:rPr>
      </w:pPr>
    </w:p>
    <w:p w:rsidR="0059386B" w:rsidRDefault="0059386B" w:rsidP="00FA5342">
      <w:pPr>
        <w:pStyle w:val="BodyText"/>
        <w:ind w:left="720" w:right="-450" w:hanging="720"/>
        <w:rPr>
          <w:sz w:val="20"/>
        </w:rPr>
      </w:pPr>
      <w:r>
        <w:rPr>
          <w:sz w:val="20"/>
        </w:rPr>
        <w:tab/>
      </w:r>
      <w:r w:rsidR="00187AC9">
        <w:rPr>
          <w:sz w:val="20"/>
        </w:rPr>
        <w:t>The above results did not comprise any</w:t>
      </w:r>
      <w:r>
        <w:rPr>
          <w:sz w:val="20"/>
        </w:rPr>
        <w:t xml:space="preserve"> pre-acquisition profit.</w:t>
      </w:r>
    </w:p>
    <w:p w:rsidR="00E33B43" w:rsidRDefault="00E33B43" w:rsidP="00FA5342">
      <w:pPr>
        <w:pStyle w:val="BodyText"/>
        <w:ind w:left="720" w:right="-450" w:hanging="720"/>
        <w:rPr>
          <w:sz w:val="20"/>
        </w:rPr>
      </w:pPr>
    </w:p>
    <w:p w:rsidR="00E33B43" w:rsidRDefault="00E33B43" w:rsidP="00FA5342">
      <w:pPr>
        <w:pStyle w:val="BodyText"/>
        <w:ind w:left="720" w:right="-450" w:hanging="720"/>
        <w:rPr>
          <w:sz w:val="20"/>
        </w:rPr>
      </w:pPr>
    </w:p>
    <w:p w:rsidR="0059386B" w:rsidRDefault="0059386B" w:rsidP="00FA5342">
      <w:pPr>
        <w:pStyle w:val="BodyText"/>
        <w:ind w:left="720" w:right="-450" w:hanging="720"/>
        <w:rPr>
          <w:b/>
          <w:sz w:val="20"/>
        </w:rPr>
      </w:pPr>
      <w:r>
        <w:rPr>
          <w:sz w:val="20"/>
        </w:rPr>
        <w:t>A</w:t>
      </w:r>
      <w:r w:rsidR="00276675">
        <w:rPr>
          <w:sz w:val="20"/>
        </w:rPr>
        <w:t>7</w:t>
      </w:r>
      <w:r>
        <w:rPr>
          <w:sz w:val="20"/>
        </w:rPr>
        <w:tab/>
      </w:r>
      <w:r>
        <w:rPr>
          <w:b/>
          <w:sz w:val="20"/>
        </w:rPr>
        <w:t>Dividends</w:t>
      </w:r>
      <w:r w:rsidR="0003680D">
        <w:rPr>
          <w:b/>
          <w:sz w:val="20"/>
        </w:rPr>
        <w:t xml:space="preserve"> paid</w:t>
      </w:r>
    </w:p>
    <w:p w:rsidR="0059386B" w:rsidRDefault="0059386B" w:rsidP="00FA5342">
      <w:pPr>
        <w:pStyle w:val="BodyText"/>
        <w:ind w:left="720" w:right="-450" w:hanging="720"/>
        <w:rPr>
          <w:sz w:val="20"/>
        </w:rPr>
      </w:pPr>
    </w:p>
    <w:p w:rsidR="00E40AE1" w:rsidRDefault="004773F8" w:rsidP="004773F8">
      <w:pPr>
        <w:ind w:firstLine="720"/>
        <w:jc w:val="both"/>
      </w:pPr>
      <w:r>
        <w:t>There was no dividend paid, proposed or declared during the quarter under review.</w:t>
      </w:r>
    </w:p>
    <w:p w:rsidR="004773F8" w:rsidRPr="00574BA1" w:rsidRDefault="004773F8" w:rsidP="004773F8">
      <w:pPr>
        <w:ind w:firstLine="720"/>
        <w:jc w:val="both"/>
      </w:pPr>
    </w:p>
    <w:p w:rsidR="00765742" w:rsidRDefault="00574BA1" w:rsidP="00E40AE1">
      <w:pPr>
        <w:jc w:val="both"/>
      </w:pPr>
      <w:r>
        <w:tab/>
      </w:r>
    </w:p>
    <w:p w:rsidR="00A65647" w:rsidRDefault="00A65647" w:rsidP="00FA5342">
      <w:pPr>
        <w:pStyle w:val="BodyText"/>
        <w:ind w:left="720" w:right="-450" w:hanging="720"/>
        <w:rPr>
          <w:b/>
          <w:sz w:val="20"/>
        </w:rPr>
      </w:pPr>
      <w:r>
        <w:rPr>
          <w:sz w:val="20"/>
        </w:rPr>
        <w:t>A8</w:t>
      </w:r>
      <w:r>
        <w:rPr>
          <w:sz w:val="20"/>
        </w:rPr>
        <w:tab/>
      </w:r>
      <w:r>
        <w:rPr>
          <w:b/>
          <w:sz w:val="20"/>
        </w:rPr>
        <w:t>Debt and equity securities</w:t>
      </w:r>
    </w:p>
    <w:p w:rsidR="00A65647" w:rsidRDefault="00A65647" w:rsidP="00491580">
      <w:pPr>
        <w:pStyle w:val="BodyText"/>
        <w:ind w:left="720" w:right="-450" w:hanging="1800"/>
        <w:rPr>
          <w:b/>
          <w:sz w:val="20"/>
        </w:rPr>
      </w:pPr>
    </w:p>
    <w:p w:rsidR="00183057" w:rsidRDefault="00183057" w:rsidP="00183057">
      <w:pPr>
        <w:ind w:left="720"/>
        <w:jc w:val="both"/>
        <w:rPr>
          <w:snapToGrid w:val="0"/>
          <w:color w:val="000000"/>
        </w:rPr>
      </w:pPr>
      <w:r w:rsidRPr="00CA45E1">
        <w:t xml:space="preserve">There were no issuances, cancellations, repurchases, resale or repayments of debt and equity securities during the quarter under review except for </w:t>
      </w:r>
      <w:r w:rsidRPr="00CA45E1">
        <w:rPr>
          <w:snapToGrid w:val="0"/>
          <w:color w:val="000000"/>
        </w:rPr>
        <w:t xml:space="preserve">a conversion of </w:t>
      </w:r>
      <w:r w:rsidR="00CA45E1" w:rsidRPr="00CA45E1">
        <w:rPr>
          <w:snapToGrid w:val="0"/>
          <w:color w:val="000000"/>
        </w:rPr>
        <w:t>2</w:t>
      </w:r>
      <w:r w:rsidRPr="00CA45E1">
        <w:rPr>
          <w:snapToGrid w:val="0"/>
          <w:color w:val="000000"/>
        </w:rPr>
        <w:t xml:space="preserve">0 warrants on </w:t>
      </w:r>
      <w:r w:rsidR="00CA45E1" w:rsidRPr="00CA45E1">
        <w:rPr>
          <w:snapToGrid w:val="0"/>
          <w:color w:val="000000"/>
        </w:rPr>
        <w:t>17</w:t>
      </w:r>
      <w:r w:rsidRPr="00CA45E1">
        <w:rPr>
          <w:snapToGrid w:val="0"/>
          <w:color w:val="000000"/>
        </w:rPr>
        <w:t xml:space="preserve"> </w:t>
      </w:r>
      <w:r w:rsidR="00CA45E1" w:rsidRPr="00CA45E1">
        <w:rPr>
          <w:snapToGrid w:val="0"/>
          <w:color w:val="000000"/>
        </w:rPr>
        <w:t>February</w:t>
      </w:r>
      <w:r w:rsidRPr="00CA45E1">
        <w:rPr>
          <w:snapToGrid w:val="0"/>
          <w:color w:val="000000"/>
        </w:rPr>
        <w:t xml:space="preserve"> 201</w:t>
      </w:r>
      <w:r w:rsidR="00CA45E1" w:rsidRPr="00CA45E1">
        <w:rPr>
          <w:snapToGrid w:val="0"/>
          <w:color w:val="000000"/>
        </w:rPr>
        <w:t>1</w:t>
      </w:r>
      <w:r w:rsidRPr="00CA45E1">
        <w:rPr>
          <w:snapToGrid w:val="0"/>
          <w:color w:val="000000"/>
        </w:rPr>
        <w:t>, to an equal number of ordinary shares of RM1.00 each.  The number of warrants outstanding as at 1</w:t>
      </w:r>
      <w:r w:rsidR="00CA45E1" w:rsidRPr="00CA45E1">
        <w:rPr>
          <w:snapToGrid w:val="0"/>
          <w:color w:val="000000"/>
        </w:rPr>
        <w:t>7</w:t>
      </w:r>
      <w:r w:rsidRPr="00CA45E1">
        <w:rPr>
          <w:snapToGrid w:val="0"/>
          <w:color w:val="000000"/>
        </w:rPr>
        <w:t xml:space="preserve"> </w:t>
      </w:r>
      <w:r w:rsidR="00CA45E1" w:rsidRPr="00CA45E1">
        <w:rPr>
          <w:snapToGrid w:val="0"/>
          <w:color w:val="000000"/>
        </w:rPr>
        <w:t>February</w:t>
      </w:r>
      <w:r w:rsidRPr="00CA45E1">
        <w:rPr>
          <w:snapToGrid w:val="0"/>
          <w:color w:val="000000"/>
        </w:rPr>
        <w:t xml:space="preserve"> 201</w:t>
      </w:r>
      <w:r w:rsidR="00CA45E1" w:rsidRPr="00CA45E1">
        <w:rPr>
          <w:snapToGrid w:val="0"/>
          <w:color w:val="000000"/>
        </w:rPr>
        <w:t>1</w:t>
      </w:r>
      <w:r w:rsidRPr="00CA45E1">
        <w:rPr>
          <w:snapToGrid w:val="0"/>
          <w:color w:val="000000"/>
        </w:rPr>
        <w:t xml:space="preserve"> after the conversion of the said warrants was 265,063,</w:t>
      </w:r>
      <w:r w:rsidR="00CA45E1" w:rsidRPr="00CA45E1">
        <w:rPr>
          <w:snapToGrid w:val="0"/>
          <w:color w:val="000000"/>
        </w:rPr>
        <w:t>59</w:t>
      </w:r>
      <w:r w:rsidRPr="00CA45E1">
        <w:rPr>
          <w:snapToGrid w:val="0"/>
          <w:color w:val="000000"/>
        </w:rPr>
        <w:t>6.</w:t>
      </w:r>
    </w:p>
    <w:p w:rsidR="00F42946" w:rsidRDefault="00F42946" w:rsidP="00491580">
      <w:pPr>
        <w:pStyle w:val="BodyText"/>
        <w:ind w:left="720" w:right="-450" w:hanging="1800"/>
        <w:rPr>
          <w:sz w:val="20"/>
        </w:rPr>
      </w:pPr>
    </w:p>
    <w:p w:rsidR="00F42946" w:rsidRDefault="00F42946" w:rsidP="00491580">
      <w:pPr>
        <w:pStyle w:val="BodyText"/>
        <w:ind w:left="720" w:right="-450" w:hanging="1800"/>
        <w:rPr>
          <w:sz w:val="20"/>
        </w:rPr>
      </w:pPr>
    </w:p>
    <w:p w:rsidR="00B6080A" w:rsidRDefault="005B07D6" w:rsidP="00FA5342">
      <w:pPr>
        <w:pStyle w:val="BodyText"/>
        <w:ind w:right="-450"/>
        <w:rPr>
          <w:b/>
          <w:sz w:val="20"/>
        </w:rPr>
      </w:pPr>
      <w:r>
        <w:rPr>
          <w:sz w:val="20"/>
        </w:rPr>
        <w:t>A</w:t>
      </w:r>
      <w:r w:rsidR="008D52B1">
        <w:rPr>
          <w:sz w:val="20"/>
        </w:rPr>
        <w:t>9</w:t>
      </w:r>
      <w:r w:rsidR="00FA5342">
        <w:rPr>
          <w:sz w:val="20"/>
        </w:rPr>
        <w:tab/>
      </w:r>
      <w:r w:rsidR="00BE4C8C">
        <w:rPr>
          <w:b/>
          <w:sz w:val="20"/>
        </w:rPr>
        <w:t xml:space="preserve">Segmental reporting </w:t>
      </w:r>
      <w:r w:rsidR="00B6080A">
        <w:rPr>
          <w:b/>
          <w:sz w:val="20"/>
        </w:rPr>
        <w:tab/>
      </w:r>
    </w:p>
    <w:tbl>
      <w:tblPr>
        <w:tblW w:w="9000" w:type="dxa"/>
        <w:tblInd w:w="828" w:type="dxa"/>
        <w:tblLayout w:type="fixed"/>
        <w:tblLook w:val="0000"/>
      </w:tblPr>
      <w:tblGrid>
        <w:gridCol w:w="2880"/>
        <w:gridCol w:w="1170"/>
        <w:gridCol w:w="1890"/>
        <w:gridCol w:w="1170"/>
        <w:gridCol w:w="1890"/>
      </w:tblGrid>
      <w:tr w:rsidR="00B6080A" w:rsidTr="004231A1">
        <w:trPr>
          <w:cantSplit/>
        </w:trPr>
        <w:tc>
          <w:tcPr>
            <w:tcW w:w="2880" w:type="dxa"/>
          </w:tcPr>
          <w:p w:rsidR="00B6080A" w:rsidRDefault="00B6080A" w:rsidP="004231A1">
            <w:pPr>
              <w:pStyle w:val="BodyText"/>
              <w:ind w:left="-828" w:right="-450"/>
              <w:rPr>
                <w:sz w:val="20"/>
              </w:rPr>
            </w:pPr>
            <w:r>
              <w:rPr>
                <w:sz w:val="20"/>
              </w:rPr>
              <w:tab/>
            </w:r>
          </w:p>
        </w:tc>
        <w:tc>
          <w:tcPr>
            <w:tcW w:w="3060" w:type="dxa"/>
            <w:gridSpan w:val="2"/>
            <w:tcBorders>
              <w:top w:val="single" w:sz="4" w:space="0" w:color="auto"/>
              <w:left w:val="single" w:sz="4" w:space="0" w:color="auto"/>
              <w:bottom w:val="single" w:sz="4" w:space="0" w:color="auto"/>
              <w:right w:val="single" w:sz="4" w:space="0" w:color="auto"/>
            </w:tcBorders>
          </w:tcPr>
          <w:p w:rsidR="00B6080A" w:rsidRDefault="00B6080A" w:rsidP="004231A1">
            <w:pPr>
              <w:pStyle w:val="BodyText"/>
              <w:tabs>
                <w:tab w:val="left" w:pos="360"/>
                <w:tab w:val="left" w:pos="540"/>
                <w:tab w:val="left" w:pos="630"/>
                <w:tab w:val="left" w:pos="1080"/>
              </w:tabs>
              <w:ind w:right="-108" w:hanging="108"/>
              <w:jc w:val="center"/>
              <w:rPr>
                <w:b/>
                <w:sz w:val="18"/>
              </w:rPr>
            </w:pPr>
            <w:r>
              <w:rPr>
                <w:b/>
                <w:sz w:val="18"/>
              </w:rPr>
              <w:t>INDIVIDUAL QUARTER</w:t>
            </w:r>
          </w:p>
        </w:tc>
        <w:tc>
          <w:tcPr>
            <w:tcW w:w="3060" w:type="dxa"/>
            <w:gridSpan w:val="2"/>
            <w:tcBorders>
              <w:top w:val="single" w:sz="4" w:space="0" w:color="auto"/>
              <w:left w:val="nil"/>
              <w:right w:val="single" w:sz="4" w:space="0" w:color="auto"/>
            </w:tcBorders>
          </w:tcPr>
          <w:p w:rsidR="00B6080A" w:rsidRDefault="00B6080A" w:rsidP="004231A1">
            <w:pPr>
              <w:pStyle w:val="BodyText"/>
              <w:ind w:right="-108" w:hanging="108"/>
              <w:jc w:val="center"/>
              <w:rPr>
                <w:b/>
                <w:sz w:val="18"/>
              </w:rPr>
            </w:pPr>
            <w:r>
              <w:rPr>
                <w:b/>
                <w:sz w:val="18"/>
              </w:rPr>
              <w:t>CUMULATIVE QUARTER</w:t>
            </w:r>
          </w:p>
        </w:tc>
      </w:tr>
      <w:tr w:rsidR="00B6080A" w:rsidRPr="003D4102" w:rsidTr="004231A1">
        <w:tc>
          <w:tcPr>
            <w:tcW w:w="2880" w:type="dxa"/>
          </w:tcPr>
          <w:p w:rsidR="00B6080A" w:rsidRDefault="00B6080A" w:rsidP="004231A1">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CURRENT</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YEAR</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QUARTER</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3</w:t>
            </w:r>
            <w:r w:rsidR="00C03997">
              <w:rPr>
                <w:b/>
                <w:sz w:val="18"/>
              </w:rPr>
              <w:t>1</w:t>
            </w:r>
            <w:r w:rsidRPr="00D57475">
              <w:rPr>
                <w:b/>
                <w:sz w:val="18"/>
              </w:rPr>
              <w:t>/</w:t>
            </w:r>
            <w:r w:rsidR="00183057">
              <w:rPr>
                <w:b/>
                <w:sz w:val="18"/>
              </w:rPr>
              <w:t>3</w:t>
            </w:r>
            <w:r>
              <w:rPr>
                <w:b/>
                <w:sz w:val="18"/>
              </w:rPr>
              <w:t>/201</w:t>
            </w:r>
            <w:r w:rsidR="00183057">
              <w:rPr>
                <w:b/>
                <w:sz w:val="18"/>
              </w:rPr>
              <w:t>1</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RM’000</w:t>
            </w:r>
          </w:p>
        </w:tc>
        <w:tc>
          <w:tcPr>
            <w:tcW w:w="1890" w:type="dxa"/>
            <w:tcBorders>
              <w:top w:val="single" w:sz="4" w:space="0" w:color="auto"/>
              <w:left w:val="nil"/>
              <w:bottom w:val="single" w:sz="4" w:space="0" w:color="auto"/>
              <w:right w:val="single" w:sz="4" w:space="0" w:color="auto"/>
            </w:tcBorders>
          </w:tcPr>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PRECEDING YEAR</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CORRESPONDING</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QUARTER</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3</w:t>
            </w:r>
            <w:r w:rsidR="00C03997">
              <w:rPr>
                <w:b/>
                <w:sz w:val="18"/>
              </w:rPr>
              <w:t>1</w:t>
            </w:r>
            <w:r w:rsidRPr="00A366C5">
              <w:rPr>
                <w:b/>
                <w:sz w:val="18"/>
              </w:rPr>
              <w:t>/</w:t>
            </w:r>
            <w:r w:rsidR="00183057">
              <w:rPr>
                <w:b/>
                <w:sz w:val="18"/>
              </w:rPr>
              <w:t>3</w:t>
            </w:r>
            <w:r w:rsidRPr="00A366C5">
              <w:rPr>
                <w:b/>
                <w:sz w:val="18"/>
              </w:rPr>
              <w:t>/20</w:t>
            </w:r>
            <w:r w:rsidR="00183057">
              <w:rPr>
                <w:b/>
                <w:sz w:val="18"/>
              </w:rPr>
              <w:t>10</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RM’000</w:t>
            </w:r>
          </w:p>
        </w:tc>
        <w:tc>
          <w:tcPr>
            <w:tcW w:w="1170" w:type="dxa"/>
            <w:tcBorders>
              <w:top w:val="single" w:sz="4" w:space="0" w:color="auto"/>
              <w:left w:val="nil"/>
              <w:bottom w:val="single" w:sz="4" w:space="0" w:color="auto"/>
              <w:right w:val="single" w:sz="4" w:space="0" w:color="auto"/>
            </w:tcBorders>
          </w:tcPr>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CURRENT</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YEAR TO DATE</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3</w:t>
            </w:r>
            <w:r w:rsidR="00C03997">
              <w:rPr>
                <w:b/>
                <w:sz w:val="18"/>
              </w:rPr>
              <w:t>1</w:t>
            </w:r>
            <w:r w:rsidRPr="00D57475">
              <w:rPr>
                <w:b/>
                <w:sz w:val="18"/>
              </w:rPr>
              <w:t>/</w:t>
            </w:r>
            <w:r w:rsidR="00183057">
              <w:rPr>
                <w:b/>
                <w:sz w:val="18"/>
              </w:rPr>
              <w:t>3</w:t>
            </w:r>
            <w:r>
              <w:rPr>
                <w:b/>
                <w:sz w:val="18"/>
              </w:rPr>
              <w:t>/201</w:t>
            </w:r>
            <w:r w:rsidR="00183057">
              <w:rPr>
                <w:b/>
                <w:sz w:val="18"/>
              </w:rPr>
              <w:t>1</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RM’000</w:t>
            </w:r>
          </w:p>
        </w:tc>
        <w:tc>
          <w:tcPr>
            <w:tcW w:w="1890" w:type="dxa"/>
            <w:tcBorders>
              <w:top w:val="single" w:sz="4" w:space="0" w:color="auto"/>
              <w:left w:val="nil"/>
              <w:bottom w:val="single" w:sz="4" w:space="0" w:color="auto"/>
              <w:right w:val="single" w:sz="4" w:space="0" w:color="auto"/>
            </w:tcBorders>
          </w:tcPr>
          <w:p w:rsidR="00B6080A" w:rsidRPr="003D4102" w:rsidRDefault="00B6080A" w:rsidP="004231A1">
            <w:pPr>
              <w:pStyle w:val="BodyText"/>
              <w:tabs>
                <w:tab w:val="left" w:pos="360"/>
                <w:tab w:val="left" w:pos="540"/>
                <w:tab w:val="left" w:pos="630"/>
                <w:tab w:val="left" w:pos="1080"/>
              </w:tabs>
              <w:ind w:right="-108" w:hanging="108"/>
              <w:jc w:val="center"/>
              <w:rPr>
                <w:b/>
                <w:sz w:val="18"/>
              </w:rPr>
            </w:pPr>
            <w:r w:rsidRPr="003D4102">
              <w:rPr>
                <w:b/>
                <w:sz w:val="18"/>
              </w:rPr>
              <w:t>PRECEDING YEAR</w:t>
            </w:r>
          </w:p>
          <w:p w:rsidR="00B6080A" w:rsidRPr="003D4102" w:rsidRDefault="00B6080A" w:rsidP="004231A1">
            <w:pPr>
              <w:pStyle w:val="BodyText"/>
              <w:tabs>
                <w:tab w:val="left" w:pos="360"/>
                <w:tab w:val="left" w:pos="540"/>
                <w:tab w:val="left" w:pos="630"/>
                <w:tab w:val="left" w:pos="1080"/>
              </w:tabs>
              <w:ind w:right="-108" w:hanging="108"/>
              <w:jc w:val="center"/>
              <w:rPr>
                <w:b/>
                <w:sz w:val="18"/>
              </w:rPr>
            </w:pPr>
            <w:r w:rsidRPr="003D4102">
              <w:rPr>
                <w:b/>
                <w:sz w:val="18"/>
              </w:rPr>
              <w:t>CORRESPONDING</w:t>
            </w:r>
          </w:p>
          <w:p w:rsidR="00B6080A" w:rsidRPr="003D4102" w:rsidRDefault="00B6080A" w:rsidP="004231A1">
            <w:pPr>
              <w:pStyle w:val="BodyText"/>
              <w:tabs>
                <w:tab w:val="left" w:pos="360"/>
                <w:tab w:val="left" w:pos="540"/>
                <w:tab w:val="left" w:pos="630"/>
                <w:tab w:val="left" w:pos="1080"/>
              </w:tabs>
              <w:ind w:right="-108" w:hanging="108"/>
              <w:jc w:val="center"/>
              <w:rPr>
                <w:b/>
                <w:sz w:val="18"/>
              </w:rPr>
            </w:pPr>
            <w:r w:rsidRPr="003D4102">
              <w:rPr>
                <w:b/>
                <w:sz w:val="18"/>
              </w:rPr>
              <w:t>PERIOD</w:t>
            </w:r>
          </w:p>
          <w:p w:rsidR="00B6080A" w:rsidRPr="003D4102" w:rsidRDefault="00B6080A" w:rsidP="004231A1">
            <w:pPr>
              <w:pStyle w:val="BodyText"/>
              <w:tabs>
                <w:tab w:val="left" w:pos="360"/>
                <w:tab w:val="left" w:pos="540"/>
                <w:tab w:val="left" w:pos="702"/>
                <w:tab w:val="left" w:pos="1080"/>
              </w:tabs>
              <w:ind w:right="-108" w:hanging="108"/>
              <w:jc w:val="center"/>
              <w:rPr>
                <w:b/>
                <w:sz w:val="18"/>
              </w:rPr>
            </w:pPr>
            <w:r w:rsidRPr="003D4102">
              <w:rPr>
                <w:b/>
                <w:sz w:val="18"/>
              </w:rPr>
              <w:t>3</w:t>
            </w:r>
            <w:r w:rsidR="00C03997">
              <w:rPr>
                <w:b/>
                <w:sz w:val="18"/>
              </w:rPr>
              <w:t>1</w:t>
            </w:r>
            <w:r w:rsidRPr="003D4102">
              <w:rPr>
                <w:b/>
                <w:sz w:val="18"/>
              </w:rPr>
              <w:t>/</w:t>
            </w:r>
            <w:r w:rsidR="00183057">
              <w:rPr>
                <w:b/>
                <w:sz w:val="18"/>
              </w:rPr>
              <w:t>3</w:t>
            </w:r>
            <w:r>
              <w:rPr>
                <w:b/>
                <w:sz w:val="18"/>
              </w:rPr>
              <w:t>/20</w:t>
            </w:r>
            <w:r w:rsidR="00183057">
              <w:rPr>
                <w:b/>
                <w:sz w:val="18"/>
              </w:rPr>
              <w:t>10</w:t>
            </w:r>
          </w:p>
          <w:p w:rsidR="00B6080A" w:rsidRPr="003D4102" w:rsidRDefault="00B6080A" w:rsidP="004231A1">
            <w:pPr>
              <w:pStyle w:val="BodyText"/>
              <w:tabs>
                <w:tab w:val="left" w:pos="360"/>
                <w:tab w:val="left" w:pos="540"/>
                <w:tab w:val="left" w:pos="702"/>
                <w:tab w:val="left" w:pos="1080"/>
              </w:tabs>
              <w:ind w:right="-108" w:hanging="108"/>
              <w:jc w:val="center"/>
              <w:rPr>
                <w:b/>
                <w:sz w:val="18"/>
              </w:rPr>
            </w:pPr>
            <w:r w:rsidRPr="003D4102">
              <w:rPr>
                <w:b/>
                <w:sz w:val="18"/>
              </w:rPr>
              <w:t>RM’000</w:t>
            </w:r>
          </w:p>
        </w:tc>
      </w:tr>
      <w:tr w:rsidR="00B6080A" w:rsidRPr="00C9517D" w:rsidTr="00C3747A">
        <w:tc>
          <w:tcPr>
            <w:tcW w:w="2880" w:type="dxa"/>
            <w:tcBorders>
              <w:right w:val="single" w:sz="4" w:space="0" w:color="auto"/>
            </w:tcBorders>
            <w:shd w:val="clear" w:color="auto" w:fill="auto"/>
          </w:tcPr>
          <w:p w:rsidR="00B6080A" w:rsidRPr="004A435D" w:rsidRDefault="00B6080A" w:rsidP="004231A1">
            <w:pPr>
              <w:pStyle w:val="BodyText"/>
              <w:ind w:left="-108" w:right="-450" w:hanging="1800"/>
              <w:rPr>
                <w:b/>
                <w:color w:val="auto"/>
                <w:sz w:val="20"/>
              </w:rPr>
            </w:pPr>
          </w:p>
          <w:p w:rsidR="00B6080A" w:rsidRPr="004A435D" w:rsidRDefault="00B6080A" w:rsidP="004231A1">
            <w:pPr>
              <w:pStyle w:val="BodyText"/>
              <w:ind w:left="-108" w:right="-450"/>
              <w:rPr>
                <w:b/>
                <w:color w:val="auto"/>
                <w:sz w:val="20"/>
              </w:rPr>
            </w:pPr>
            <w:r w:rsidRPr="004A435D">
              <w:rPr>
                <w:b/>
                <w:color w:val="auto"/>
                <w:sz w:val="20"/>
              </w:rPr>
              <w:t>Segment Revenue</w:t>
            </w:r>
          </w:p>
        </w:tc>
        <w:tc>
          <w:tcPr>
            <w:tcW w:w="1170" w:type="dxa"/>
            <w:tcBorders>
              <w:top w:val="single" w:sz="4" w:space="0" w:color="auto"/>
              <w:left w:val="single" w:sz="4" w:space="0" w:color="auto"/>
              <w:right w:val="single" w:sz="4" w:space="0" w:color="auto"/>
            </w:tcBorders>
            <w:shd w:val="clear" w:color="auto" w:fill="auto"/>
          </w:tcPr>
          <w:p w:rsidR="00B6080A" w:rsidRPr="004A435D" w:rsidRDefault="00B6080A" w:rsidP="004231A1">
            <w:pPr>
              <w:pStyle w:val="BodyText"/>
              <w:ind w:right="-450" w:hanging="108"/>
              <w:jc w:val="center"/>
              <w:rPr>
                <w:color w:val="auto"/>
                <w:sz w:val="20"/>
              </w:rPr>
            </w:pPr>
          </w:p>
        </w:tc>
        <w:tc>
          <w:tcPr>
            <w:tcW w:w="1890" w:type="dxa"/>
            <w:tcBorders>
              <w:top w:val="single" w:sz="4" w:space="0" w:color="auto"/>
              <w:left w:val="single" w:sz="4" w:space="0" w:color="auto"/>
              <w:right w:val="single" w:sz="4" w:space="0" w:color="auto"/>
            </w:tcBorders>
            <w:shd w:val="clear" w:color="auto" w:fill="auto"/>
          </w:tcPr>
          <w:p w:rsidR="00B6080A" w:rsidRPr="00C9517D" w:rsidRDefault="00B6080A" w:rsidP="004231A1">
            <w:pPr>
              <w:pStyle w:val="BodyText"/>
              <w:ind w:right="-450" w:hanging="108"/>
              <w:jc w:val="center"/>
              <w:rPr>
                <w:color w:val="auto"/>
                <w:sz w:val="20"/>
                <w:highlight w:val="yellow"/>
              </w:rPr>
            </w:pPr>
          </w:p>
        </w:tc>
        <w:tc>
          <w:tcPr>
            <w:tcW w:w="1170" w:type="dxa"/>
            <w:tcBorders>
              <w:top w:val="single" w:sz="4" w:space="0" w:color="auto"/>
              <w:left w:val="single" w:sz="4" w:space="0" w:color="auto"/>
              <w:right w:val="single" w:sz="4" w:space="0" w:color="auto"/>
            </w:tcBorders>
            <w:shd w:val="clear" w:color="auto" w:fill="auto"/>
          </w:tcPr>
          <w:p w:rsidR="00B6080A" w:rsidRPr="00C9517D" w:rsidRDefault="00B6080A" w:rsidP="004231A1">
            <w:pPr>
              <w:pStyle w:val="BodyText"/>
              <w:ind w:right="-450" w:hanging="108"/>
              <w:jc w:val="center"/>
              <w:rPr>
                <w:color w:val="auto"/>
                <w:sz w:val="20"/>
                <w:highlight w:val="yellow"/>
              </w:rPr>
            </w:pPr>
          </w:p>
        </w:tc>
        <w:tc>
          <w:tcPr>
            <w:tcW w:w="1890" w:type="dxa"/>
            <w:tcBorders>
              <w:top w:val="single" w:sz="4" w:space="0" w:color="auto"/>
              <w:left w:val="single" w:sz="4" w:space="0" w:color="auto"/>
              <w:right w:val="single" w:sz="4" w:space="0" w:color="auto"/>
            </w:tcBorders>
            <w:shd w:val="clear" w:color="auto" w:fill="auto"/>
          </w:tcPr>
          <w:p w:rsidR="00B6080A" w:rsidRPr="00C9517D" w:rsidRDefault="00B6080A" w:rsidP="004231A1">
            <w:pPr>
              <w:pStyle w:val="BodyText"/>
              <w:ind w:right="-450" w:hanging="108"/>
              <w:jc w:val="center"/>
              <w:rPr>
                <w:color w:val="auto"/>
                <w:sz w:val="20"/>
                <w:highlight w:val="yellow"/>
              </w:rPr>
            </w:pP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Card and Payment Services</w:t>
            </w:r>
          </w:p>
        </w:tc>
        <w:tc>
          <w:tcPr>
            <w:tcW w:w="1170" w:type="dxa"/>
            <w:tcBorders>
              <w:left w:val="single" w:sz="4" w:space="0" w:color="auto"/>
              <w:right w:val="single" w:sz="4" w:space="0" w:color="auto"/>
            </w:tcBorders>
            <w:shd w:val="clear" w:color="auto" w:fill="auto"/>
          </w:tcPr>
          <w:p w:rsidR="00807FE3" w:rsidRPr="004A435D" w:rsidRDefault="00807FE3" w:rsidP="00807FE3">
            <w:pPr>
              <w:pStyle w:val="BodyText"/>
              <w:ind w:right="-450" w:hanging="108"/>
              <w:jc w:val="center"/>
              <w:rPr>
                <w:color w:val="auto"/>
                <w:sz w:val="20"/>
              </w:rPr>
            </w:pPr>
            <w:r w:rsidRPr="004A435D">
              <w:rPr>
                <w:color w:val="auto"/>
                <w:sz w:val="20"/>
              </w:rPr>
              <w:t>58,986</w:t>
            </w:r>
          </w:p>
        </w:tc>
        <w:tc>
          <w:tcPr>
            <w:tcW w:w="1890" w:type="dxa"/>
            <w:tcBorders>
              <w:left w:val="single" w:sz="4" w:space="0" w:color="auto"/>
              <w:right w:val="single" w:sz="4" w:space="0" w:color="auto"/>
            </w:tcBorders>
            <w:shd w:val="clear" w:color="auto" w:fill="auto"/>
          </w:tcPr>
          <w:p w:rsidR="00807FE3" w:rsidRPr="00807FE3" w:rsidRDefault="00A82266" w:rsidP="00807FE3">
            <w:pPr>
              <w:pStyle w:val="BodyText"/>
              <w:jc w:val="center"/>
              <w:rPr>
                <w:color w:val="auto"/>
                <w:sz w:val="20"/>
              </w:rPr>
            </w:pPr>
            <w:r>
              <w:rPr>
                <w:color w:val="auto"/>
                <w:sz w:val="20"/>
              </w:rPr>
              <w:t xml:space="preserve"> </w:t>
            </w:r>
            <w:r w:rsidR="00807FE3" w:rsidRPr="00807FE3">
              <w:rPr>
                <w:color w:val="auto"/>
                <w:sz w:val="20"/>
              </w:rPr>
              <w:t>58,400</w:t>
            </w:r>
          </w:p>
        </w:tc>
        <w:tc>
          <w:tcPr>
            <w:tcW w:w="1170" w:type="dxa"/>
            <w:tcBorders>
              <w:left w:val="single" w:sz="4" w:space="0" w:color="auto"/>
              <w:right w:val="single" w:sz="4" w:space="0" w:color="auto"/>
            </w:tcBorders>
            <w:shd w:val="clear" w:color="auto" w:fill="auto"/>
          </w:tcPr>
          <w:p w:rsidR="00807FE3" w:rsidRPr="00807FE3" w:rsidRDefault="00807FE3" w:rsidP="00807FE3">
            <w:pPr>
              <w:pStyle w:val="BodyText"/>
              <w:ind w:right="-450" w:hanging="108"/>
              <w:jc w:val="center"/>
              <w:rPr>
                <w:color w:val="auto"/>
                <w:sz w:val="20"/>
              </w:rPr>
            </w:pPr>
            <w:r w:rsidRPr="00807FE3">
              <w:rPr>
                <w:color w:val="auto"/>
                <w:sz w:val="20"/>
              </w:rPr>
              <w:t>58,986</w:t>
            </w:r>
          </w:p>
        </w:tc>
        <w:tc>
          <w:tcPr>
            <w:tcW w:w="1890" w:type="dxa"/>
            <w:tcBorders>
              <w:left w:val="single" w:sz="4" w:space="0" w:color="auto"/>
              <w:right w:val="single" w:sz="4" w:space="0" w:color="auto"/>
            </w:tcBorders>
            <w:shd w:val="clear" w:color="auto" w:fill="auto"/>
          </w:tcPr>
          <w:p w:rsidR="00807FE3" w:rsidRPr="00807FE3" w:rsidRDefault="00A00C32" w:rsidP="00A00C32">
            <w:pPr>
              <w:pStyle w:val="BodyText"/>
              <w:jc w:val="center"/>
              <w:rPr>
                <w:color w:val="auto"/>
                <w:sz w:val="20"/>
              </w:rPr>
            </w:pPr>
            <w:r>
              <w:rPr>
                <w:color w:val="auto"/>
                <w:sz w:val="20"/>
              </w:rPr>
              <w:t xml:space="preserve"> </w:t>
            </w:r>
            <w:r w:rsidR="00807FE3" w:rsidRPr="00807FE3">
              <w:rPr>
                <w:color w:val="auto"/>
                <w:sz w:val="20"/>
              </w:rPr>
              <w:t>58,400</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Papua New Guinea - Automotive</w:t>
            </w:r>
          </w:p>
        </w:tc>
        <w:tc>
          <w:tcPr>
            <w:tcW w:w="1170" w:type="dxa"/>
            <w:tcBorders>
              <w:left w:val="single" w:sz="4" w:space="0" w:color="auto"/>
              <w:right w:val="single" w:sz="4" w:space="0" w:color="auto"/>
            </w:tcBorders>
            <w:shd w:val="clear" w:color="auto" w:fill="auto"/>
          </w:tcPr>
          <w:p w:rsidR="00807FE3" w:rsidRPr="004A435D" w:rsidRDefault="00807FE3" w:rsidP="00807FE3">
            <w:pPr>
              <w:pStyle w:val="BodyText"/>
              <w:ind w:right="-18" w:hanging="108"/>
              <w:jc w:val="center"/>
              <w:rPr>
                <w:color w:val="auto"/>
                <w:sz w:val="20"/>
              </w:rPr>
            </w:pPr>
            <w:r>
              <w:rPr>
                <w:color w:val="auto"/>
                <w:sz w:val="20"/>
              </w:rPr>
              <w:t xml:space="preserve">      </w:t>
            </w:r>
            <w:r w:rsidRPr="004A435D">
              <w:rPr>
                <w:color w:val="auto"/>
                <w:sz w:val="20"/>
              </w:rPr>
              <w:t>129,323</w:t>
            </w:r>
          </w:p>
        </w:tc>
        <w:tc>
          <w:tcPr>
            <w:tcW w:w="1890" w:type="dxa"/>
            <w:tcBorders>
              <w:left w:val="single" w:sz="4" w:space="0" w:color="auto"/>
              <w:right w:val="single" w:sz="4" w:space="0" w:color="auto"/>
            </w:tcBorders>
            <w:shd w:val="clear" w:color="auto" w:fill="auto"/>
          </w:tcPr>
          <w:p w:rsidR="00807FE3" w:rsidRPr="00807FE3" w:rsidRDefault="00807FE3" w:rsidP="00807FE3">
            <w:pPr>
              <w:pStyle w:val="BodyText"/>
              <w:tabs>
                <w:tab w:val="left" w:pos="1325"/>
              </w:tabs>
              <w:rPr>
                <w:color w:val="auto"/>
                <w:sz w:val="20"/>
              </w:rPr>
            </w:pPr>
            <w:r>
              <w:rPr>
                <w:color w:val="auto"/>
                <w:sz w:val="20"/>
              </w:rPr>
              <w:t xml:space="preserve">         </w:t>
            </w:r>
            <w:r w:rsidRPr="00807FE3">
              <w:rPr>
                <w:color w:val="auto"/>
                <w:sz w:val="20"/>
              </w:rPr>
              <w:t>114,674</w:t>
            </w:r>
          </w:p>
        </w:tc>
        <w:tc>
          <w:tcPr>
            <w:tcW w:w="1170" w:type="dxa"/>
            <w:tcBorders>
              <w:left w:val="single" w:sz="4" w:space="0" w:color="auto"/>
              <w:right w:val="single" w:sz="4" w:space="0" w:color="auto"/>
            </w:tcBorders>
            <w:shd w:val="clear" w:color="auto" w:fill="auto"/>
          </w:tcPr>
          <w:p w:rsidR="00807FE3" w:rsidRPr="00807FE3" w:rsidRDefault="00807FE3" w:rsidP="00807FE3">
            <w:pPr>
              <w:pStyle w:val="BodyText"/>
              <w:ind w:right="-18" w:hanging="108"/>
              <w:jc w:val="center"/>
              <w:rPr>
                <w:color w:val="auto"/>
                <w:sz w:val="20"/>
              </w:rPr>
            </w:pPr>
            <w:r>
              <w:rPr>
                <w:color w:val="auto"/>
                <w:sz w:val="20"/>
              </w:rPr>
              <w:t xml:space="preserve">       </w:t>
            </w:r>
            <w:r w:rsidRPr="00807FE3">
              <w:rPr>
                <w:color w:val="auto"/>
                <w:sz w:val="20"/>
              </w:rPr>
              <w:t>129,323</w:t>
            </w:r>
          </w:p>
        </w:tc>
        <w:tc>
          <w:tcPr>
            <w:tcW w:w="1890" w:type="dxa"/>
            <w:tcBorders>
              <w:left w:val="single" w:sz="4" w:space="0" w:color="auto"/>
              <w:right w:val="single" w:sz="4" w:space="0" w:color="auto"/>
            </w:tcBorders>
            <w:shd w:val="clear" w:color="auto" w:fill="auto"/>
          </w:tcPr>
          <w:p w:rsidR="00807FE3" w:rsidRPr="00807FE3" w:rsidRDefault="00807FE3" w:rsidP="00A00C32">
            <w:pPr>
              <w:pStyle w:val="BodyText"/>
              <w:tabs>
                <w:tab w:val="left" w:pos="1325"/>
              </w:tabs>
              <w:rPr>
                <w:color w:val="auto"/>
                <w:sz w:val="20"/>
              </w:rPr>
            </w:pPr>
            <w:r>
              <w:rPr>
                <w:color w:val="auto"/>
                <w:sz w:val="20"/>
              </w:rPr>
              <w:t xml:space="preserve">         </w:t>
            </w:r>
            <w:r w:rsidRPr="00807FE3">
              <w:rPr>
                <w:color w:val="auto"/>
                <w:sz w:val="20"/>
              </w:rPr>
              <w:t>114,674</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Papua New Guinea - Agriculture</w:t>
            </w:r>
          </w:p>
        </w:tc>
        <w:tc>
          <w:tcPr>
            <w:tcW w:w="1170" w:type="dxa"/>
            <w:tcBorders>
              <w:left w:val="single" w:sz="4" w:space="0" w:color="auto"/>
              <w:right w:val="single" w:sz="4" w:space="0" w:color="auto"/>
            </w:tcBorders>
            <w:shd w:val="clear" w:color="auto" w:fill="auto"/>
          </w:tcPr>
          <w:p w:rsidR="00807FE3" w:rsidRPr="004A435D" w:rsidRDefault="00807FE3" w:rsidP="00807FE3">
            <w:pPr>
              <w:pStyle w:val="BodyText"/>
              <w:ind w:right="-18" w:hanging="108"/>
              <w:jc w:val="center"/>
              <w:rPr>
                <w:color w:val="auto"/>
                <w:sz w:val="20"/>
              </w:rPr>
            </w:pPr>
            <w:r>
              <w:rPr>
                <w:color w:val="auto"/>
                <w:sz w:val="20"/>
              </w:rPr>
              <w:t xml:space="preserve">        </w:t>
            </w:r>
            <w:r w:rsidRPr="004A435D">
              <w:rPr>
                <w:color w:val="auto"/>
                <w:sz w:val="20"/>
              </w:rPr>
              <w:t>84,321</w:t>
            </w:r>
          </w:p>
        </w:tc>
        <w:tc>
          <w:tcPr>
            <w:tcW w:w="1890" w:type="dxa"/>
            <w:tcBorders>
              <w:left w:val="single" w:sz="4" w:space="0" w:color="auto"/>
              <w:right w:val="single" w:sz="4" w:space="0" w:color="auto"/>
            </w:tcBorders>
            <w:shd w:val="clear" w:color="auto" w:fill="auto"/>
          </w:tcPr>
          <w:p w:rsidR="00807FE3" w:rsidRPr="00807FE3" w:rsidRDefault="00807FE3" w:rsidP="00807FE3">
            <w:pPr>
              <w:pStyle w:val="BodyText"/>
              <w:tabs>
                <w:tab w:val="left" w:pos="1325"/>
              </w:tabs>
              <w:jc w:val="center"/>
              <w:rPr>
                <w:color w:val="auto"/>
                <w:sz w:val="20"/>
              </w:rPr>
            </w:pPr>
            <w:r>
              <w:rPr>
                <w:color w:val="auto"/>
                <w:sz w:val="20"/>
              </w:rPr>
              <w:t xml:space="preserve"> </w:t>
            </w:r>
            <w:r w:rsidRPr="00807FE3">
              <w:rPr>
                <w:color w:val="auto"/>
                <w:sz w:val="20"/>
              </w:rPr>
              <w:t>40,157</w:t>
            </w:r>
          </w:p>
        </w:tc>
        <w:tc>
          <w:tcPr>
            <w:tcW w:w="1170" w:type="dxa"/>
            <w:tcBorders>
              <w:left w:val="single" w:sz="4" w:space="0" w:color="auto"/>
              <w:right w:val="single" w:sz="4" w:space="0" w:color="auto"/>
            </w:tcBorders>
            <w:shd w:val="clear" w:color="auto" w:fill="auto"/>
          </w:tcPr>
          <w:p w:rsidR="00807FE3" w:rsidRPr="00807FE3" w:rsidRDefault="00807FE3" w:rsidP="00807FE3">
            <w:pPr>
              <w:pStyle w:val="BodyText"/>
              <w:ind w:right="-18" w:hanging="108"/>
              <w:jc w:val="center"/>
              <w:rPr>
                <w:color w:val="auto"/>
                <w:sz w:val="20"/>
              </w:rPr>
            </w:pPr>
            <w:r>
              <w:rPr>
                <w:color w:val="auto"/>
                <w:sz w:val="20"/>
              </w:rPr>
              <w:t xml:space="preserve">         </w:t>
            </w:r>
            <w:r w:rsidRPr="00807FE3">
              <w:rPr>
                <w:color w:val="auto"/>
                <w:sz w:val="20"/>
              </w:rPr>
              <w:t>84,321</w:t>
            </w:r>
          </w:p>
        </w:tc>
        <w:tc>
          <w:tcPr>
            <w:tcW w:w="1890" w:type="dxa"/>
            <w:tcBorders>
              <w:left w:val="single" w:sz="4" w:space="0" w:color="auto"/>
              <w:right w:val="single" w:sz="4" w:space="0" w:color="auto"/>
            </w:tcBorders>
            <w:shd w:val="clear" w:color="auto" w:fill="auto"/>
          </w:tcPr>
          <w:p w:rsidR="00807FE3" w:rsidRPr="00807FE3" w:rsidRDefault="00807FE3" w:rsidP="00A00C32">
            <w:pPr>
              <w:pStyle w:val="BodyText"/>
              <w:tabs>
                <w:tab w:val="left" w:pos="1325"/>
              </w:tabs>
              <w:jc w:val="center"/>
              <w:rPr>
                <w:color w:val="auto"/>
                <w:sz w:val="20"/>
              </w:rPr>
            </w:pPr>
            <w:r>
              <w:rPr>
                <w:color w:val="auto"/>
                <w:sz w:val="20"/>
              </w:rPr>
              <w:t xml:space="preserve"> </w:t>
            </w:r>
            <w:r w:rsidRPr="00807FE3">
              <w:rPr>
                <w:color w:val="auto"/>
                <w:sz w:val="20"/>
              </w:rPr>
              <w:t>40,157</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jc w:val="left"/>
              <w:rPr>
                <w:color w:val="auto"/>
                <w:sz w:val="20"/>
              </w:rPr>
            </w:pPr>
            <w:r w:rsidRPr="004A435D">
              <w:rPr>
                <w:color w:val="auto"/>
                <w:sz w:val="20"/>
              </w:rPr>
              <w:t>Fiji - Retail and Wholesale</w:t>
            </w:r>
          </w:p>
        </w:tc>
        <w:tc>
          <w:tcPr>
            <w:tcW w:w="1170" w:type="dxa"/>
            <w:tcBorders>
              <w:left w:val="single" w:sz="4" w:space="0" w:color="auto"/>
              <w:right w:val="single" w:sz="4" w:space="0" w:color="auto"/>
            </w:tcBorders>
            <w:shd w:val="clear" w:color="auto" w:fill="auto"/>
          </w:tcPr>
          <w:p w:rsidR="00807FE3" w:rsidRPr="004A435D" w:rsidRDefault="00807FE3" w:rsidP="00807FE3">
            <w:pPr>
              <w:pStyle w:val="BodyText"/>
              <w:ind w:right="-18" w:hanging="108"/>
              <w:jc w:val="center"/>
              <w:rPr>
                <w:color w:val="auto"/>
                <w:sz w:val="20"/>
              </w:rPr>
            </w:pPr>
            <w:r>
              <w:rPr>
                <w:color w:val="auto"/>
                <w:sz w:val="20"/>
              </w:rPr>
              <w:t xml:space="preserve">        </w:t>
            </w:r>
            <w:r w:rsidRPr="004A435D">
              <w:rPr>
                <w:color w:val="auto"/>
                <w:sz w:val="20"/>
              </w:rPr>
              <w:t>83,191</w:t>
            </w:r>
          </w:p>
        </w:tc>
        <w:tc>
          <w:tcPr>
            <w:tcW w:w="1890" w:type="dxa"/>
            <w:tcBorders>
              <w:left w:val="single" w:sz="4" w:space="0" w:color="auto"/>
              <w:right w:val="single" w:sz="4" w:space="0" w:color="auto"/>
            </w:tcBorders>
            <w:shd w:val="clear" w:color="auto" w:fill="auto"/>
          </w:tcPr>
          <w:p w:rsidR="00807FE3" w:rsidRPr="00807FE3" w:rsidRDefault="00807FE3" w:rsidP="00807FE3">
            <w:pPr>
              <w:pStyle w:val="BodyText"/>
              <w:tabs>
                <w:tab w:val="left" w:pos="1325"/>
              </w:tabs>
              <w:jc w:val="center"/>
              <w:rPr>
                <w:color w:val="auto"/>
                <w:sz w:val="20"/>
              </w:rPr>
            </w:pPr>
            <w:r>
              <w:rPr>
                <w:color w:val="auto"/>
                <w:sz w:val="20"/>
              </w:rPr>
              <w:t xml:space="preserve"> </w:t>
            </w:r>
            <w:r w:rsidRPr="00807FE3">
              <w:rPr>
                <w:color w:val="auto"/>
                <w:sz w:val="20"/>
              </w:rPr>
              <w:t>89,909</w:t>
            </w:r>
          </w:p>
        </w:tc>
        <w:tc>
          <w:tcPr>
            <w:tcW w:w="1170" w:type="dxa"/>
            <w:tcBorders>
              <w:left w:val="single" w:sz="4" w:space="0" w:color="auto"/>
              <w:right w:val="single" w:sz="4" w:space="0" w:color="auto"/>
            </w:tcBorders>
            <w:shd w:val="clear" w:color="auto" w:fill="auto"/>
          </w:tcPr>
          <w:p w:rsidR="00807FE3" w:rsidRPr="00807FE3" w:rsidRDefault="00807FE3" w:rsidP="00807FE3">
            <w:pPr>
              <w:pStyle w:val="BodyText"/>
              <w:ind w:right="-18" w:hanging="108"/>
              <w:jc w:val="center"/>
              <w:rPr>
                <w:color w:val="auto"/>
                <w:sz w:val="20"/>
              </w:rPr>
            </w:pPr>
            <w:r>
              <w:rPr>
                <w:color w:val="auto"/>
                <w:sz w:val="20"/>
              </w:rPr>
              <w:t xml:space="preserve">         </w:t>
            </w:r>
            <w:r w:rsidRPr="00807FE3">
              <w:rPr>
                <w:color w:val="auto"/>
                <w:sz w:val="20"/>
              </w:rPr>
              <w:t>83,191</w:t>
            </w:r>
          </w:p>
        </w:tc>
        <w:tc>
          <w:tcPr>
            <w:tcW w:w="1890" w:type="dxa"/>
            <w:tcBorders>
              <w:left w:val="single" w:sz="4" w:space="0" w:color="auto"/>
              <w:right w:val="single" w:sz="4" w:space="0" w:color="auto"/>
            </w:tcBorders>
            <w:shd w:val="clear" w:color="auto" w:fill="auto"/>
          </w:tcPr>
          <w:p w:rsidR="00807FE3" w:rsidRPr="00807FE3" w:rsidRDefault="00807FE3" w:rsidP="00A00C32">
            <w:pPr>
              <w:pStyle w:val="BodyText"/>
              <w:tabs>
                <w:tab w:val="left" w:pos="1325"/>
              </w:tabs>
              <w:jc w:val="center"/>
              <w:rPr>
                <w:color w:val="auto"/>
                <w:sz w:val="20"/>
              </w:rPr>
            </w:pPr>
            <w:r>
              <w:rPr>
                <w:color w:val="auto"/>
                <w:sz w:val="20"/>
              </w:rPr>
              <w:t xml:space="preserve"> </w:t>
            </w:r>
            <w:r w:rsidRPr="00807FE3">
              <w:rPr>
                <w:color w:val="auto"/>
                <w:sz w:val="20"/>
              </w:rPr>
              <w:t>89,909</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Fiji - Automotive</w:t>
            </w:r>
          </w:p>
        </w:tc>
        <w:tc>
          <w:tcPr>
            <w:tcW w:w="1170" w:type="dxa"/>
            <w:tcBorders>
              <w:left w:val="single" w:sz="4" w:space="0" w:color="auto"/>
              <w:right w:val="single" w:sz="4" w:space="0" w:color="auto"/>
            </w:tcBorders>
            <w:shd w:val="clear" w:color="auto" w:fill="auto"/>
          </w:tcPr>
          <w:p w:rsidR="00807FE3" w:rsidRPr="004A435D" w:rsidRDefault="00807FE3" w:rsidP="00807FE3">
            <w:pPr>
              <w:pStyle w:val="BodyText"/>
              <w:ind w:right="-18" w:hanging="108"/>
              <w:jc w:val="center"/>
              <w:rPr>
                <w:color w:val="auto"/>
                <w:sz w:val="20"/>
              </w:rPr>
            </w:pPr>
            <w:r>
              <w:rPr>
                <w:color w:val="auto"/>
                <w:sz w:val="20"/>
              </w:rPr>
              <w:t xml:space="preserve">        </w:t>
            </w:r>
            <w:r w:rsidRPr="004A435D">
              <w:rPr>
                <w:color w:val="auto"/>
                <w:sz w:val="20"/>
              </w:rPr>
              <w:t>52,493</w:t>
            </w:r>
          </w:p>
        </w:tc>
        <w:tc>
          <w:tcPr>
            <w:tcW w:w="1890" w:type="dxa"/>
            <w:tcBorders>
              <w:left w:val="single" w:sz="4" w:space="0" w:color="auto"/>
              <w:right w:val="single" w:sz="4" w:space="0" w:color="auto"/>
            </w:tcBorders>
            <w:shd w:val="clear" w:color="auto" w:fill="auto"/>
          </w:tcPr>
          <w:p w:rsidR="00807FE3" w:rsidRPr="00807FE3" w:rsidRDefault="00807FE3" w:rsidP="00807FE3">
            <w:pPr>
              <w:pStyle w:val="BodyText"/>
              <w:tabs>
                <w:tab w:val="left" w:pos="1325"/>
              </w:tabs>
              <w:jc w:val="center"/>
              <w:rPr>
                <w:color w:val="auto"/>
                <w:sz w:val="20"/>
              </w:rPr>
            </w:pPr>
            <w:r>
              <w:rPr>
                <w:color w:val="auto"/>
                <w:sz w:val="20"/>
              </w:rPr>
              <w:t xml:space="preserve"> </w:t>
            </w:r>
            <w:r w:rsidRPr="00807FE3">
              <w:rPr>
                <w:color w:val="auto"/>
                <w:sz w:val="20"/>
              </w:rPr>
              <w:t>61,658</w:t>
            </w:r>
          </w:p>
        </w:tc>
        <w:tc>
          <w:tcPr>
            <w:tcW w:w="1170" w:type="dxa"/>
            <w:tcBorders>
              <w:left w:val="single" w:sz="4" w:space="0" w:color="auto"/>
              <w:right w:val="single" w:sz="4" w:space="0" w:color="auto"/>
            </w:tcBorders>
            <w:shd w:val="clear" w:color="auto" w:fill="auto"/>
          </w:tcPr>
          <w:p w:rsidR="00807FE3" w:rsidRPr="00807FE3" w:rsidRDefault="00807FE3" w:rsidP="00807FE3">
            <w:pPr>
              <w:pStyle w:val="BodyText"/>
              <w:ind w:right="-18" w:hanging="108"/>
              <w:jc w:val="center"/>
              <w:rPr>
                <w:color w:val="auto"/>
                <w:sz w:val="20"/>
              </w:rPr>
            </w:pPr>
            <w:r>
              <w:rPr>
                <w:color w:val="auto"/>
                <w:sz w:val="20"/>
              </w:rPr>
              <w:t xml:space="preserve">         </w:t>
            </w:r>
            <w:r w:rsidRPr="00807FE3">
              <w:rPr>
                <w:color w:val="auto"/>
                <w:sz w:val="20"/>
              </w:rPr>
              <w:t>52,493</w:t>
            </w:r>
          </w:p>
        </w:tc>
        <w:tc>
          <w:tcPr>
            <w:tcW w:w="1890" w:type="dxa"/>
            <w:tcBorders>
              <w:left w:val="single" w:sz="4" w:space="0" w:color="auto"/>
              <w:right w:val="single" w:sz="4" w:space="0" w:color="auto"/>
            </w:tcBorders>
            <w:shd w:val="clear" w:color="auto" w:fill="auto"/>
          </w:tcPr>
          <w:p w:rsidR="00807FE3" w:rsidRPr="00807FE3" w:rsidRDefault="00807FE3" w:rsidP="00A00C32">
            <w:pPr>
              <w:pStyle w:val="BodyText"/>
              <w:tabs>
                <w:tab w:val="left" w:pos="1325"/>
              </w:tabs>
              <w:jc w:val="center"/>
              <w:rPr>
                <w:color w:val="auto"/>
                <w:sz w:val="20"/>
              </w:rPr>
            </w:pPr>
            <w:r>
              <w:rPr>
                <w:color w:val="auto"/>
                <w:sz w:val="20"/>
              </w:rPr>
              <w:t xml:space="preserve"> </w:t>
            </w:r>
            <w:r w:rsidRPr="00807FE3">
              <w:rPr>
                <w:color w:val="auto"/>
                <w:sz w:val="20"/>
              </w:rPr>
              <w:t>61,658</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Fiji - Property</w:t>
            </w:r>
          </w:p>
        </w:tc>
        <w:tc>
          <w:tcPr>
            <w:tcW w:w="1170" w:type="dxa"/>
            <w:tcBorders>
              <w:left w:val="single" w:sz="4" w:space="0" w:color="auto"/>
              <w:right w:val="single" w:sz="4" w:space="0" w:color="auto"/>
            </w:tcBorders>
            <w:shd w:val="clear" w:color="auto" w:fill="auto"/>
          </w:tcPr>
          <w:p w:rsidR="00807FE3" w:rsidRPr="004A435D" w:rsidRDefault="00807FE3" w:rsidP="00807FE3">
            <w:pPr>
              <w:pStyle w:val="BodyText"/>
              <w:ind w:right="-18" w:hanging="108"/>
              <w:jc w:val="center"/>
              <w:rPr>
                <w:color w:val="auto"/>
                <w:sz w:val="20"/>
              </w:rPr>
            </w:pPr>
            <w:r>
              <w:rPr>
                <w:color w:val="auto"/>
                <w:sz w:val="20"/>
              </w:rPr>
              <w:t xml:space="preserve">         6</w:t>
            </w:r>
            <w:r w:rsidRPr="004A435D">
              <w:rPr>
                <w:color w:val="auto"/>
                <w:sz w:val="20"/>
              </w:rPr>
              <w:t>,</w:t>
            </w:r>
            <w:r>
              <w:rPr>
                <w:color w:val="auto"/>
                <w:sz w:val="20"/>
              </w:rPr>
              <w:t>195</w:t>
            </w:r>
          </w:p>
        </w:tc>
        <w:tc>
          <w:tcPr>
            <w:tcW w:w="1890" w:type="dxa"/>
            <w:tcBorders>
              <w:left w:val="single" w:sz="4" w:space="0" w:color="auto"/>
              <w:right w:val="single" w:sz="4" w:space="0" w:color="auto"/>
            </w:tcBorders>
            <w:shd w:val="clear" w:color="auto" w:fill="auto"/>
          </w:tcPr>
          <w:p w:rsidR="00807FE3" w:rsidRPr="00807FE3" w:rsidRDefault="00807FE3" w:rsidP="00807FE3">
            <w:pPr>
              <w:pStyle w:val="BodyText"/>
              <w:tabs>
                <w:tab w:val="left" w:pos="1325"/>
              </w:tabs>
              <w:jc w:val="center"/>
              <w:rPr>
                <w:color w:val="auto"/>
                <w:sz w:val="20"/>
              </w:rPr>
            </w:pPr>
            <w:r>
              <w:rPr>
                <w:color w:val="auto"/>
                <w:sz w:val="20"/>
              </w:rPr>
              <w:t xml:space="preserve">   </w:t>
            </w:r>
            <w:r w:rsidRPr="00807FE3">
              <w:rPr>
                <w:color w:val="auto"/>
                <w:sz w:val="20"/>
              </w:rPr>
              <w:t>6,811</w:t>
            </w:r>
          </w:p>
        </w:tc>
        <w:tc>
          <w:tcPr>
            <w:tcW w:w="1170" w:type="dxa"/>
            <w:tcBorders>
              <w:left w:val="single" w:sz="4" w:space="0" w:color="auto"/>
              <w:right w:val="single" w:sz="4" w:space="0" w:color="auto"/>
            </w:tcBorders>
            <w:shd w:val="clear" w:color="auto" w:fill="auto"/>
          </w:tcPr>
          <w:p w:rsidR="00807FE3" w:rsidRPr="00807FE3" w:rsidRDefault="00807FE3" w:rsidP="00807FE3">
            <w:pPr>
              <w:pStyle w:val="BodyText"/>
              <w:ind w:right="-18" w:hanging="108"/>
              <w:jc w:val="center"/>
              <w:rPr>
                <w:color w:val="auto"/>
                <w:sz w:val="20"/>
              </w:rPr>
            </w:pPr>
            <w:r>
              <w:rPr>
                <w:color w:val="auto"/>
                <w:sz w:val="20"/>
              </w:rPr>
              <w:t xml:space="preserve">           </w:t>
            </w:r>
            <w:r w:rsidRPr="00807FE3">
              <w:rPr>
                <w:color w:val="auto"/>
                <w:sz w:val="20"/>
              </w:rPr>
              <w:t>6,195</w:t>
            </w:r>
          </w:p>
        </w:tc>
        <w:tc>
          <w:tcPr>
            <w:tcW w:w="1890" w:type="dxa"/>
            <w:tcBorders>
              <w:left w:val="single" w:sz="4" w:space="0" w:color="auto"/>
              <w:right w:val="single" w:sz="4" w:space="0" w:color="auto"/>
            </w:tcBorders>
            <w:shd w:val="clear" w:color="auto" w:fill="auto"/>
          </w:tcPr>
          <w:p w:rsidR="00807FE3" w:rsidRPr="00807FE3" w:rsidRDefault="00807FE3" w:rsidP="00A00C32">
            <w:pPr>
              <w:pStyle w:val="BodyText"/>
              <w:tabs>
                <w:tab w:val="left" w:pos="1325"/>
              </w:tabs>
              <w:jc w:val="center"/>
              <w:rPr>
                <w:color w:val="auto"/>
                <w:sz w:val="20"/>
              </w:rPr>
            </w:pPr>
            <w:r>
              <w:rPr>
                <w:color w:val="auto"/>
                <w:sz w:val="20"/>
              </w:rPr>
              <w:t xml:space="preserve">   </w:t>
            </w:r>
            <w:r w:rsidRPr="00807FE3">
              <w:rPr>
                <w:color w:val="auto"/>
                <w:sz w:val="20"/>
              </w:rPr>
              <w:t>6,811</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Shipping</w:t>
            </w:r>
          </w:p>
        </w:tc>
        <w:tc>
          <w:tcPr>
            <w:tcW w:w="1170" w:type="dxa"/>
            <w:tcBorders>
              <w:left w:val="single" w:sz="4" w:space="0" w:color="auto"/>
              <w:right w:val="single" w:sz="4" w:space="0" w:color="auto"/>
            </w:tcBorders>
            <w:shd w:val="clear" w:color="auto" w:fill="auto"/>
          </w:tcPr>
          <w:p w:rsidR="00807FE3" w:rsidRPr="004A435D" w:rsidRDefault="00807FE3" w:rsidP="00807FE3">
            <w:pPr>
              <w:pStyle w:val="BodyText"/>
              <w:ind w:left="-18" w:right="-450" w:hanging="108"/>
              <w:jc w:val="center"/>
              <w:rPr>
                <w:color w:val="auto"/>
                <w:sz w:val="20"/>
              </w:rPr>
            </w:pPr>
            <w:r w:rsidRPr="004A435D">
              <w:rPr>
                <w:color w:val="auto"/>
                <w:sz w:val="20"/>
              </w:rPr>
              <w:t>32,405</w:t>
            </w:r>
          </w:p>
        </w:tc>
        <w:tc>
          <w:tcPr>
            <w:tcW w:w="1890" w:type="dxa"/>
            <w:tcBorders>
              <w:left w:val="single" w:sz="4" w:space="0" w:color="auto"/>
              <w:right w:val="single" w:sz="4" w:space="0" w:color="auto"/>
            </w:tcBorders>
            <w:shd w:val="clear" w:color="auto" w:fill="auto"/>
          </w:tcPr>
          <w:p w:rsidR="00807FE3" w:rsidRPr="00807FE3" w:rsidRDefault="00807FE3" w:rsidP="00807FE3">
            <w:pPr>
              <w:pStyle w:val="BodyText"/>
              <w:tabs>
                <w:tab w:val="left" w:pos="1325"/>
              </w:tabs>
              <w:jc w:val="center"/>
              <w:rPr>
                <w:color w:val="auto"/>
                <w:sz w:val="20"/>
              </w:rPr>
            </w:pPr>
            <w:r>
              <w:rPr>
                <w:color w:val="auto"/>
                <w:sz w:val="20"/>
              </w:rPr>
              <w:t xml:space="preserve">   </w:t>
            </w:r>
            <w:r w:rsidRPr="00807FE3">
              <w:rPr>
                <w:color w:val="auto"/>
                <w:sz w:val="20"/>
              </w:rPr>
              <w:t>6,547</w:t>
            </w:r>
          </w:p>
        </w:tc>
        <w:tc>
          <w:tcPr>
            <w:tcW w:w="1170" w:type="dxa"/>
            <w:tcBorders>
              <w:left w:val="single" w:sz="4" w:space="0" w:color="auto"/>
              <w:right w:val="single" w:sz="4" w:space="0" w:color="auto"/>
            </w:tcBorders>
            <w:shd w:val="clear" w:color="auto" w:fill="auto"/>
          </w:tcPr>
          <w:p w:rsidR="00807FE3" w:rsidRPr="00807FE3" w:rsidRDefault="00807FE3" w:rsidP="00807FE3">
            <w:pPr>
              <w:pStyle w:val="BodyText"/>
              <w:ind w:left="-18" w:right="-450" w:hanging="108"/>
              <w:jc w:val="center"/>
              <w:rPr>
                <w:color w:val="auto"/>
                <w:sz w:val="20"/>
              </w:rPr>
            </w:pPr>
            <w:r>
              <w:rPr>
                <w:color w:val="auto"/>
                <w:sz w:val="20"/>
              </w:rPr>
              <w:t xml:space="preserve">  </w:t>
            </w:r>
            <w:r w:rsidRPr="00807FE3">
              <w:rPr>
                <w:color w:val="auto"/>
                <w:sz w:val="20"/>
              </w:rPr>
              <w:t>32,405</w:t>
            </w:r>
          </w:p>
        </w:tc>
        <w:tc>
          <w:tcPr>
            <w:tcW w:w="1890" w:type="dxa"/>
            <w:tcBorders>
              <w:left w:val="single" w:sz="4" w:space="0" w:color="auto"/>
              <w:right w:val="single" w:sz="4" w:space="0" w:color="auto"/>
            </w:tcBorders>
            <w:shd w:val="clear" w:color="auto" w:fill="auto"/>
          </w:tcPr>
          <w:p w:rsidR="00807FE3" w:rsidRPr="00807FE3" w:rsidRDefault="00807FE3" w:rsidP="00A00C32">
            <w:pPr>
              <w:pStyle w:val="BodyText"/>
              <w:tabs>
                <w:tab w:val="left" w:pos="1325"/>
              </w:tabs>
              <w:jc w:val="center"/>
              <w:rPr>
                <w:color w:val="auto"/>
                <w:sz w:val="20"/>
              </w:rPr>
            </w:pPr>
            <w:r>
              <w:rPr>
                <w:color w:val="auto"/>
                <w:sz w:val="20"/>
              </w:rPr>
              <w:t xml:space="preserve">   </w:t>
            </w:r>
            <w:r w:rsidRPr="00807FE3">
              <w:rPr>
                <w:color w:val="auto"/>
                <w:sz w:val="20"/>
              </w:rPr>
              <w:t>6,547</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Other segments</w:t>
            </w:r>
          </w:p>
        </w:tc>
        <w:tc>
          <w:tcPr>
            <w:tcW w:w="1170" w:type="dxa"/>
            <w:tcBorders>
              <w:left w:val="single" w:sz="4" w:space="0" w:color="auto"/>
              <w:right w:val="single" w:sz="4" w:space="0" w:color="auto"/>
            </w:tcBorders>
            <w:shd w:val="clear" w:color="auto" w:fill="auto"/>
          </w:tcPr>
          <w:p w:rsidR="00807FE3" w:rsidRPr="004A435D" w:rsidRDefault="00807FE3" w:rsidP="00807FE3">
            <w:pPr>
              <w:pStyle w:val="BodyText"/>
              <w:ind w:right="-450" w:hanging="108"/>
              <w:rPr>
                <w:color w:val="auto"/>
                <w:sz w:val="20"/>
              </w:rPr>
            </w:pPr>
            <w:r>
              <w:rPr>
                <w:color w:val="auto"/>
                <w:sz w:val="20"/>
              </w:rPr>
              <w:t xml:space="preserve">       </w:t>
            </w:r>
            <w:r w:rsidRPr="004A435D">
              <w:rPr>
                <w:color w:val="auto"/>
                <w:sz w:val="20"/>
              </w:rPr>
              <w:t>114,655</w:t>
            </w:r>
          </w:p>
        </w:tc>
        <w:tc>
          <w:tcPr>
            <w:tcW w:w="1890" w:type="dxa"/>
            <w:tcBorders>
              <w:left w:val="single" w:sz="4" w:space="0" w:color="auto"/>
              <w:right w:val="single" w:sz="4" w:space="0" w:color="auto"/>
            </w:tcBorders>
            <w:shd w:val="clear" w:color="auto" w:fill="auto"/>
          </w:tcPr>
          <w:p w:rsidR="00807FE3" w:rsidRPr="00807FE3" w:rsidRDefault="00807FE3" w:rsidP="00807FE3">
            <w:pPr>
              <w:pStyle w:val="BodyText"/>
              <w:jc w:val="center"/>
              <w:rPr>
                <w:color w:val="auto"/>
                <w:sz w:val="20"/>
              </w:rPr>
            </w:pPr>
            <w:r>
              <w:rPr>
                <w:color w:val="auto"/>
                <w:sz w:val="20"/>
              </w:rPr>
              <w:t xml:space="preserve"> </w:t>
            </w:r>
            <w:r w:rsidRPr="00807FE3">
              <w:rPr>
                <w:color w:val="auto"/>
                <w:sz w:val="20"/>
              </w:rPr>
              <w:t>84,636</w:t>
            </w:r>
          </w:p>
        </w:tc>
        <w:tc>
          <w:tcPr>
            <w:tcW w:w="1170" w:type="dxa"/>
            <w:tcBorders>
              <w:left w:val="single" w:sz="4" w:space="0" w:color="auto"/>
              <w:right w:val="single" w:sz="4" w:space="0" w:color="auto"/>
            </w:tcBorders>
            <w:shd w:val="clear" w:color="auto" w:fill="auto"/>
          </w:tcPr>
          <w:p w:rsidR="00807FE3" w:rsidRPr="00807FE3" w:rsidRDefault="00807FE3" w:rsidP="00807FE3">
            <w:pPr>
              <w:pStyle w:val="BodyText"/>
              <w:ind w:right="-450" w:hanging="108"/>
              <w:jc w:val="center"/>
              <w:rPr>
                <w:color w:val="auto"/>
                <w:sz w:val="20"/>
              </w:rPr>
            </w:pPr>
            <w:r w:rsidRPr="00807FE3">
              <w:rPr>
                <w:color w:val="auto"/>
                <w:sz w:val="20"/>
              </w:rPr>
              <w:t>114,655</w:t>
            </w:r>
          </w:p>
        </w:tc>
        <w:tc>
          <w:tcPr>
            <w:tcW w:w="1890" w:type="dxa"/>
            <w:tcBorders>
              <w:left w:val="single" w:sz="4" w:space="0" w:color="auto"/>
              <w:right w:val="single" w:sz="4" w:space="0" w:color="auto"/>
            </w:tcBorders>
            <w:shd w:val="clear" w:color="auto" w:fill="auto"/>
          </w:tcPr>
          <w:p w:rsidR="00807FE3" w:rsidRPr="00807FE3" w:rsidRDefault="00807FE3" w:rsidP="00A00C32">
            <w:pPr>
              <w:pStyle w:val="BodyText"/>
              <w:jc w:val="center"/>
              <w:rPr>
                <w:color w:val="auto"/>
                <w:sz w:val="20"/>
              </w:rPr>
            </w:pPr>
            <w:r>
              <w:rPr>
                <w:color w:val="auto"/>
                <w:sz w:val="20"/>
              </w:rPr>
              <w:t xml:space="preserve"> </w:t>
            </w:r>
            <w:r w:rsidRPr="00807FE3">
              <w:rPr>
                <w:color w:val="auto"/>
                <w:sz w:val="20"/>
              </w:rPr>
              <w:t>84,636</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left="72" w:right="-450"/>
              <w:rPr>
                <w:color w:val="auto"/>
                <w:sz w:val="20"/>
              </w:rPr>
            </w:pPr>
            <w:r w:rsidRPr="004A435D">
              <w:rPr>
                <w:color w:val="auto"/>
                <w:sz w:val="20"/>
              </w:rPr>
              <w:t xml:space="preserve">Adjustments and eliminations   </w:t>
            </w:r>
          </w:p>
        </w:tc>
        <w:tc>
          <w:tcPr>
            <w:tcW w:w="1170" w:type="dxa"/>
            <w:tcBorders>
              <w:left w:val="single" w:sz="4" w:space="0" w:color="auto"/>
              <w:right w:val="single" w:sz="4" w:space="0" w:color="auto"/>
            </w:tcBorders>
            <w:shd w:val="clear" w:color="auto" w:fill="auto"/>
          </w:tcPr>
          <w:p w:rsidR="00807FE3" w:rsidRPr="004A435D" w:rsidRDefault="00807FE3" w:rsidP="00807FE3">
            <w:pPr>
              <w:pStyle w:val="BodyText"/>
              <w:ind w:right="-450" w:hanging="108"/>
              <w:jc w:val="center"/>
              <w:rPr>
                <w:color w:val="auto"/>
                <w:sz w:val="20"/>
              </w:rPr>
            </w:pPr>
            <w:r>
              <w:rPr>
                <w:color w:val="auto"/>
                <w:sz w:val="20"/>
              </w:rPr>
              <w:t>(10,664)</w:t>
            </w:r>
          </w:p>
        </w:tc>
        <w:tc>
          <w:tcPr>
            <w:tcW w:w="1890" w:type="dxa"/>
            <w:tcBorders>
              <w:left w:val="single" w:sz="4" w:space="0" w:color="auto"/>
              <w:right w:val="single" w:sz="4" w:space="0" w:color="auto"/>
            </w:tcBorders>
            <w:shd w:val="clear" w:color="auto" w:fill="auto"/>
          </w:tcPr>
          <w:p w:rsidR="00807FE3" w:rsidRPr="00807FE3" w:rsidRDefault="00807FE3" w:rsidP="00807FE3">
            <w:pPr>
              <w:pStyle w:val="BodyText"/>
              <w:tabs>
                <w:tab w:val="left" w:pos="1325"/>
              </w:tabs>
              <w:jc w:val="center"/>
              <w:rPr>
                <w:color w:val="auto"/>
                <w:sz w:val="20"/>
              </w:rPr>
            </w:pPr>
            <w:r>
              <w:rPr>
                <w:color w:val="auto"/>
                <w:sz w:val="20"/>
              </w:rPr>
              <w:t xml:space="preserve">   </w:t>
            </w:r>
            <w:r w:rsidRPr="00807FE3">
              <w:rPr>
                <w:color w:val="auto"/>
                <w:sz w:val="20"/>
              </w:rPr>
              <w:t>(6,177)</w:t>
            </w:r>
          </w:p>
        </w:tc>
        <w:tc>
          <w:tcPr>
            <w:tcW w:w="1170" w:type="dxa"/>
            <w:tcBorders>
              <w:left w:val="single" w:sz="4" w:space="0" w:color="auto"/>
              <w:right w:val="single" w:sz="4" w:space="0" w:color="auto"/>
            </w:tcBorders>
            <w:shd w:val="clear" w:color="auto" w:fill="auto"/>
          </w:tcPr>
          <w:p w:rsidR="00807FE3" w:rsidRPr="00807FE3" w:rsidRDefault="00807FE3" w:rsidP="00807FE3">
            <w:pPr>
              <w:pStyle w:val="BodyText"/>
              <w:ind w:right="-450" w:hanging="108"/>
              <w:jc w:val="center"/>
              <w:rPr>
                <w:color w:val="auto"/>
                <w:sz w:val="20"/>
              </w:rPr>
            </w:pPr>
            <w:r>
              <w:rPr>
                <w:color w:val="auto"/>
                <w:sz w:val="20"/>
              </w:rPr>
              <w:t xml:space="preserve"> </w:t>
            </w:r>
            <w:r w:rsidRPr="00807FE3">
              <w:rPr>
                <w:color w:val="auto"/>
                <w:sz w:val="20"/>
              </w:rPr>
              <w:t>(10,664)</w:t>
            </w:r>
          </w:p>
        </w:tc>
        <w:tc>
          <w:tcPr>
            <w:tcW w:w="1890" w:type="dxa"/>
            <w:tcBorders>
              <w:left w:val="single" w:sz="4" w:space="0" w:color="auto"/>
              <w:right w:val="single" w:sz="4" w:space="0" w:color="auto"/>
            </w:tcBorders>
            <w:shd w:val="clear" w:color="auto" w:fill="auto"/>
          </w:tcPr>
          <w:p w:rsidR="00807FE3" w:rsidRPr="00807FE3" w:rsidRDefault="00807FE3" w:rsidP="00A00C32">
            <w:pPr>
              <w:pStyle w:val="BodyText"/>
              <w:tabs>
                <w:tab w:val="left" w:pos="1325"/>
              </w:tabs>
              <w:jc w:val="center"/>
              <w:rPr>
                <w:color w:val="auto"/>
                <w:sz w:val="20"/>
              </w:rPr>
            </w:pPr>
            <w:r>
              <w:rPr>
                <w:color w:val="auto"/>
                <w:sz w:val="20"/>
              </w:rPr>
              <w:t xml:space="preserve">   </w:t>
            </w:r>
            <w:r w:rsidRPr="00807FE3">
              <w:rPr>
                <w:color w:val="auto"/>
                <w:sz w:val="20"/>
              </w:rPr>
              <w:t>(6,177)</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450" w:hanging="1800"/>
              <w:rPr>
                <w:color w:val="auto"/>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807FE3" w:rsidRPr="004A435D" w:rsidRDefault="00807FE3" w:rsidP="00807FE3">
            <w:pPr>
              <w:pStyle w:val="BodyText"/>
              <w:ind w:right="-450" w:hanging="108"/>
              <w:rPr>
                <w:color w:val="auto"/>
                <w:sz w:val="20"/>
              </w:rPr>
            </w:pPr>
            <w:r>
              <w:rPr>
                <w:color w:val="auto"/>
                <w:sz w:val="20"/>
              </w:rPr>
              <w:t xml:space="preserve">       </w:t>
            </w:r>
            <w:r w:rsidRPr="004A435D">
              <w:rPr>
                <w:color w:val="auto"/>
                <w:sz w:val="20"/>
              </w:rPr>
              <w:t>550,905</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807FE3" w:rsidRPr="00807FE3" w:rsidRDefault="00807FE3" w:rsidP="00807FE3">
            <w:pPr>
              <w:pStyle w:val="BodyText"/>
              <w:jc w:val="center"/>
              <w:rPr>
                <w:color w:val="auto"/>
                <w:sz w:val="20"/>
              </w:rPr>
            </w:pPr>
            <w:r w:rsidRPr="00807FE3">
              <w:rPr>
                <w:color w:val="auto"/>
                <w:sz w:val="20"/>
              </w:rPr>
              <w:t>456,615</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807FE3" w:rsidRPr="00807FE3" w:rsidRDefault="00807FE3" w:rsidP="00807FE3">
            <w:pPr>
              <w:pStyle w:val="BodyText"/>
              <w:ind w:right="-450" w:hanging="108"/>
              <w:jc w:val="center"/>
              <w:rPr>
                <w:color w:val="auto"/>
                <w:sz w:val="20"/>
              </w:rPr>
            </w:pPr>
            <w:r w:rsidRPr="00807FE3">
              <w:rPr>
                <w:color w:val="auto"/>
                <w:sz w:val="20"/>
              </w:rPr>
              <w:t>550,905</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807FE3" w:rsidRPr="00807FE3" w:rsidRDefault="00807FE3" w:rsidP="00A00C32">
            <w:pPr>
              <w:pStyle w:val="BodyText"/>
              <w:jc w:val="center"/>
              <w:rPr>
                <w:color w:val="auto"/>
                <w:sz w:val="20"/>
              </w:rPr>
            </w:pPr>
            <w:r w:rsidRPr="00807FE3">
              <w:rPr>
                <w:color w:val="auto"/>
                <w:sz w:val="20"/>
              </w:rPr>
              <w:t>456,615</w:t>
            </w:r>
          </w:p>
        </w:tc>
      </w:tr>
    </w:tbl>
    <w:p w:rsidR="00B6080A" w:rsidRPr="00C9517D" w:rsidRDefault="00B6080A" w:rsidP="00FA5342">
      <w:pPr>
        <w:pStyle w:val="BodyText"/>
        <w:ind w:right="-450"/>
        <w:rPr>
          <w:b/>
          <w:sz w:val="20"/>
          <w:highlight w:val="yellow"/>
        </w:rPr>
      </w:pPr>
    </w:p>
    <w:p w:rsidR="006A41F9" w:rsidRDefault="006A41F9" w:rsidP="00FA5342">
      <w:pPr>
        <w:pStyle w:val="BodyText"/>
        <w:ind w:right="-450"/>
        <w:rPr>
          <w:b/>
          <w:sz w:val="20"/>
          <w:highlight w:val="yellow"/>
        </w:rPr>
      </w:pPr>
    </w:p>
    <w:p w:rsidR="00346C33" w:rsidRDefault="00346C33" w:rsidP="00FA5342">
      <w:pPr>
        <w:pStyle w:val="BodyText"/>
        <w:ind w:right="-450"/>
        <w:rPr>
          <w:b/>
          <w:sz w:val="20"/>
          <w:highlight w:val="yellow"/>
        </w:rPr>
      </w:pPr>
    </w:p>
    <w:p w:rsidR="00346C33" w:rsidRDefault="00346C33" w:rsidP="00FA5342">
      <w:pPr>
        <w:pStyle w:val="BodyText"/>
        <w:ind w:right="-450"/>
        <w:rPr>
          <w:b/>
          <w:sz w:val="20"/>
          <w:highlight w:val="yellow"/>
        </w:rPr>
      </w:pPr>
    </w:p>
    <w:p w:rsidR="00346C33" w:rsidRDefault="00346C33" w:rsidP="00FA5342">
      <w:pPr>
        <w:pStyle w:val="BodyText"/>
        <w:ind w:right="-450"/>
        <w:rPr>
          <w:b/>
          <w:sz w:val="20"/>
          <w:highlight w:val="yellow"/>
        </w:rPr>
      </w:pPr>
    </w:p>
    <w:p w:rsidR="00346C33" w:rsidRDefault="00346C33" w:rsidP="00FA5342">
      <w:pPr>
        <w:pStyle w:val="BodyText"/>
        <w:ind w:right="-450"/>
        <w:rPr>
          <w:b/>
          <w:sz w:val="20"/>
          <w:highlight w:val="yellow"/>
        </w:rPr>
      </w:pPr>
    </w:p>
    <w:p w:rsidR="00346C33" w:rsidRDefault="00346C33" w:rsidP="00FA5342">
      <w:pPr>
        <w:pStyle w:val="BodyText"/>
        <w:ind w:right="-450"/>
        <w:rPr>
          <w:b/>
          <w:sz w:val="20"/>
          <w:highlight w:val="yellow"/>
        </w:rPr>
      </w:pPr>
    </w:p>
    <w:p w:rsidR="00346C33" w:rsidRDefault="00346C33" w:rsidP="00FA5342">
      <w:pPr>
        <w:pStyle w:val="BodyText"/>
        <w:ind w:right="-450"/>
        <w:rPr>
          <w:b/>
          <w:sz w:val="20"/>
          <w:highlight w:val="yellow"/>
        </w:rPr>
      </w:pPr>
    </w:p>
    <w:p w:rsidR="00346C33" w:rsidRDefault="00346C33" w:rsidP="00FA5342">
      <w:pPr>
        <w:pStyle w:val="BodyText"/>
        <w:ind w:right="-450"/>
        <w:rPr>
          <w:b/>
          <w:sz w:val="20"/>
          <w:highlight w:val="yellow"/>
        </w:rPr>
      </w:pPr>
    </w:p>
    <w:p w:rsidR="00346C33" w:rsidRDefault="00346C33" w:rsidP="00FA5342">
      <w:pPr>
        <w:pStyle w:val="BodyText"/>
        <w:ind w:right="-450"/>
        <w:rPr>
          <w:b/>
          <w:sz w:val="20"/>
          <w:highlight w:val="yellow"/>
        </w:rPr>
      </w:pPr>
    </w:p>
    <w:p w:rsidR="00346C33" w:rsidRDefault="00346C33" w:rsidP="00FA5342">
      <w:pPr>
        <w:pStyle w:val="BodyText"/>
        <w:ind w:right="-450"/>
        <w:rPr>
          <w:b/>
          <w:sz w:val="20"/>
          <w:highlight w:val="yellow"/>
        </w:rPr>
      </w:pPr>
    </w:p>
    <w:p w:rsidR="00346C33" w:rsidRPr="00C9517D" w:rsidRDefault="00346C33" w:rsidP="00FA5342">
      <w:pPr>
        <w:pStyle w:val="BodyText"/>
        <w:ind w:right="-450"/>
        <w:rPr>
          <w:b/>
          <w:sz w:val="20"/>
          <w:highlight w:val="yellow"/>
        </w:rPr>
      </w:pPr>
    </w:p>
    <w:p w:rsidR="006A41F9" w:rsidRPr="00C9517D" w:rsidRDefault="006A41F9" w:rsidP="00FA5342">
      <w:pPr>
        <w:pStyle w:val="BodyText"/>
        <w:ind w:right="-450"/>
        <w:rPr>
          <w:b/>
          <w:sz w:val="20"/>
          <w:highlight w:val="yellow"/>
        </w:rPr>
      </w:pPr>
    </w:p>
    <w:tbl>
      <w:tblPr>
        <w:tblW w:w="9000" w:type="dxa"/>
        <w:tblInd w:w="828" w:type="dxa"/>
        <w:tblLayout w:type="fixed"/>
        <w:tblLook w:val="0000"/>
      </w:tblPr>
      <w:tblGrid>
        <w:gridCol w:w="2880"/>
        <w:gridCol w:w="1170"/>
        <w:gridCol w:w="1890"/>
        <w:gridCol w:w="1170"/>
        <w:gridCol w:w="1890"/>
      </w:tblGrid>
      <w:tr w:rsidR="00C115E0" w:rsidRPr="00C9517D">
        <w:tc>
          <w:tcPr>
            <w:tcW w:w="2880" w:type="dxa"/>
            <w:tcBorders>
              <w:right w:val="single" w:sz="4" w:space="0" w:color="auto"/>
            </w:tcBorders>
          </w:tcPr>
          <w:p w:rsidR="00C115E0" w:rsidRPr="00C9517D" w:rsidRDefault="00C115E0" w:rsidP="00684D6B">
            <w:pPr>
              <w:pStyle w:val="BodyText"/>
              <w:ind w:left="-828" w:right="-450"/>
              <w:rPr>
                <w:sz w:val="20"/>
                <w:highlight w:val="yellow"/>
              </w:rPr>
            </w:pPr>
          </w:p>
        </w:tc>
        <w:tc>
          <w:tcPr>
            <w:tcW w:w="3060" w:type="dxa"/>
            <w:gridSpan w:val="2"/>
            <w:tcBorders>
              <w:top w:val="single" w:sz="8" w:space="0" w:color="auto"/>
              <w:left w:val="single" w:sz="4" w:space="0" w:color="auto"/>
              <w:right w:val="single" w:sz="4" w:space="0" w:color="auto"/>
            </w:tcBorders>
          </w:tcPr>
          <w:p w:rsidR="00C115E0" w:rsidRPr="00052600" w:rsidRDefault="00C115E0" w:rsidP="00684D6B">
            <w:pPr>
              <w:pStyle w:val="BodyText"/>
              <w:ind w:right="-108" w:hanging="108"/>
              <w:jc w:val="center"/>
              <w:rPr>
                <w:b/>
                <w:sz w:val="18"/>
              </w:rPr>
            </w:pPr>
            <w:r w:rsidRPr="00052600">
              <w:rPr>
                <w:b/>
                <w:sz w:val="18"/>
              </w:rPr>
              <w:t>INDIVIDUAL QUARTER</w:t>
            </w:r>
          </w:p>
        </w:tc>
        <w:tc>
          <w:tcPr>
            <w:tcW w:w="3060" w:type="dxa"/>
            <w:gridSpan w:val="2"/>
            <w:tcBorders>
              <w:top w:val="single" w:sz="8" w:space="0" w:color="auto"/>
              <w:left w:val="single" w:sz="4" w:space="0" w:color="auto"/>
              <w:right w:val="single" w:sz="4" w:space="0" w:color="auto"/>
            </w:tcBorders>
          </w:tcPr>
          <w:p w:rsidR="00C115E0" w:rsidRPr="00052600" w:rsidRDefault="00C115E0" w:rsidP="00684D6B">
            <w:pPr>
              <w:pStyle w:val="BodyText"/>
              <w:ind w:right="-108" w:hanging="108"/>
              <w:jc w:val="center"/>
              <w:rPr>
                <w:b/>
                <w:sz w:val="18"/>
              </w:rPr>
            </w:pPr>
            <w:r w:rsidRPr="00052600">
              <w:rPr>
                <w:b/>
                <w:sz w:val="18"/>
              </w:rPr>
              <w:t>CUMULATIVE QUARTER</w:t>
            </w:r>
          </w:p>
        </w:tc>
      </w:tr>
      <w:tr w:rsidR="00183057" w:rsidRPr="00C9517D">
        <w:tc>
          <w:tcPr>
            <w:tcW w:w="2880" w:type="dxa"/>
            <w:tcBorders>
              <w:right w:val="single" w:sz="4" w:space="0" w:color="auto"/>
            </w:tcBorders>
          </w:tcPr>
          <w:p w:rsidR="00183057" w:rsidRPr="00C9517D" w:rsidRDefault="00183057" w:rsidP="00684D6B">
            <w:pPr>
              <w:pStyle w:val="BodyText"/>
              <w:ind w:left="-108" w:right="-450" w:hanging="1800"/>
              <w:rPr>
                <w:b/>
                <w:sz w:val="20"/>
                <w:highlight w:val="yellow"/>
              </w:rPr>
            </w:pPr>
          </w:p>
        </w:tc>
        <w:tc>
          <w:tcPr>
            <w:tcW w:w="1170" w:type="dxa"/>
            <w:tcBorders>
              <w:top w:val="single" w:sz="8" w:space="0" w:color="auto"/>
              <w:left w:val="single" w:sz="4" w:space="0" w:color="auto"/>
              <w:right w:val="single" w:sz="4" w:space="0" w:color="auto"/>
            </w:tcBorders>
          </w:tcPr>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CURRENT</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YEAR</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QUARTER</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31/3/2011</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RM’000</w:t>
            </w:r>
          </w:p>
        </w:tc>
        <w:tc>
          <w:tcPr>
            <w:tcW w:w="1890" w:type="dxa"/>
            <w:tcBorders>
              <w:top w:val="single" w:sz="8" w:space="0" w:color="auto"/>
              <w:left w:val="single" w:sz="4" w:space="0" w:color="auto"/>
              <w:right w:val="single" w:sz="4" w:space="0" w:color="auto"/>
            </w:tcBorders>
          </w:tcPr>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PRECEDING YEAR</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CORRESPONDING</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QUARTER</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31/3/2010</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RM’000</w:t>
            </w:r>
          </w:p>
        </w:tc>
        <w:tc>
          <w:tcPr>
            <w:tcW w:w="1170" w:type="dxa"/>
            <w:tcBorders>
              <w:top w:val="single" w:sz="8" w:space="0" w:color="auto"/>
              <w:left w:val="single" w:sz="4" w:space="0" w:color="auto"/>
              <w:right w:val="single" w:sz="4" w:space="0" w:color="auto"/>
            </w:tcBorders>
          </w:tcPr>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CURRENT</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YEAR TO DATE</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31/3/2011</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RM’000</w:t>
            </w:r>
          </w:p>
        </w:tc>
        <w:tc>
          <w:tcPr>
            <w:tcW w:w="1890" w:type="dxa"/>
            <w:tcBorders>
              <w:top w:val="single" w:sz="8" w:space="0" w:color="auto"/>
              <w:left w:val="single" w:sz="4" w:space="0" w:color="auto"/>
              <w:right w:val="single" w:sz="4" w:space="0" w:color="auto"/>
            </w:tcBorders>
          </w:tcPr>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PRECEDING YEAR</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CORRESPONDING</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PERIOD</w:t>
            </w:r>
          </w:p>
          <w:p w:rsidR="00183057" w:rsidRPr="00052600" w:rsidRDefault="00183057" w:rsidP="00306F4D">
            <w:pPr>
              <w:pStyle w:val="BodyText"/>
              <w:tabs>
                <w:tab w:val="left" w:pos="360"/>
                <w:tab w:val="left" w:pos="540"/>
                <w:tab w:val="left" w:pos="702"/>
                <w:tab w:val="left" w:pos="1080"/>
              </w:tabs>
              <w:ind w:right="-108" w:hanging="108"/>
              <w:jc w:val="center"/>
              <w:rPr>
                <w:b/>
                <w:sz w:val="18"/>
              </w:rPr>
            </w:pPr>
            <w:r w:rsidRPr="00052600">
              <w:rPr>
                <w:b/>
                <w:sz w:val="18"/>
              </w:rPr>
              <w:t>31/3/2010</w:t>
            </w:r>
          </w:p>
          <w:p w:rsidR="00183057" w:rsidRPr="00052600" w:rsidRDefault="00183057" w:rsidP="00306F4D">
            <w:pPr>
              <w:pStyle w:val="BodyText"/>
              <w:tabs>
                <w:tab w:val="left" w:pos="360"/>
                <w:tab w:val="left" w:pos="540"/>
                <w:tab w:val="left" w:pos="702"/>
                <w:tab w:val="left" w:pos="1080"/>
              </w:tabs>
              <w:ind w:right="-108" w:hanging="108"/>
              <w:jc w:val="center"/>
              <w:rPr>
                <w:b/>
                <w:sz w:val="18"/>
              </w:rPr>
            </w:pPr>
            <w:r w:rsidRPr="00052600">
              <w:rPr>
                <w:b/>
                <w:sz w:val="18"/>
              </w:rPr>
              <w:t>RM’000</w:t>
            </w:r>
          </w:p>
        </w:tc>
      </w:tr>
      <w:tr w:rsidR="00896EE7" w:rsidRPr="00C9517D">
        <w:tc>
          <w:tcPr>
            <w:tcW w:w="2880" w:type="dxa"/>
            <w:tcBorders>
              <w:right w:val="single" w:sz="4" w:space="0" w:color="auto"/>
            </w:tcBorders>
          </w:tcPr>
          <w:p w:rsidR="00896EE7" w:rsidRPr="00052600" w:rsidRDefault="00896EE7" w:rsidP="00684D6B">
            <w:pPr>
              <w:pStyle w:val="BodyText"/>
              <w:ind w:right="-108" w:hanging="108"/>
              <w:rPr>
                <w:b/>
                <w:sz w:val="20"/>
              </w:rPr>
            </w:pPr>
          </w:p>
          <w:p w:rsidR="00896EE7" w:rsidRPr="00052600" w:rsidRDefault="00896EE7" w:rsidP="00684D6B">
            <w:pPr>
              <w:pStyle w:val="BodyText"/>
              <w:ind w:right="-108" w:hanging="108"/>
              <w:rPr>
                <w:sz w:val="20"/>
              </w:rPr>
            </w:pPr>
            <w:r w:rsidRPr="00052600">
              <w:rPr>
                <w:b/>
                <w:sz w:val="20"/>
              </w:rPr>
              <w:t>Segment Results</w:t>
            </w:r>
          </w:p>
        </w:tc>
        <w:tc>
          <w:tcPr>
            <w:tcW w:w="1170" w:type="dxa"/>
            <w:tcBorders>
              <w:top w:val="single" w:sz="8" w:space="0" w:color="auto"/>
              <w:left w:val="single" w:sz="4" w:space="0" w:color="auto"/>
              <w:right w:val="single" w:sz="4" w:space="0" w:color="auto"/>
            </w:tcBorders>
          </w:tcPr>
          <w:p w:rsidR="00896EE7" w:rsidRPr="00052600" w:rsidRDefault="00896EE7" w:rsidP="00306F4D">
            <w:pPr>
              <w:pStyle w:val="BodyText"/>
              <w:ind w:right="-450" w:hanging="108"/>
              <w:jc w:val="center"/>
              <w:rPr>
                <w:color w:val="auto"/>
                <w:sz w:val="20"/>
              </w:rPr>
            </w:pPr>
          </w:p>
        </w:tc>
        <w:tc>
          <w:tcPr>
            <w:tcW w:w="1890" w:type="dxa"/>
            <w:tcBorders>
              <w:top w:val="single" w:sz="8" w:space="0" w:color="auto"/>
              <w:left w:val="single" w:sz="4" w:space="0" w:color="auto"/>
              <w:right w:val="single" w:sz="4" w:space="0" w:color="auto"/>
            </w:tcBorders>
          </w:tcPr>
          <w:p w:rsidR="00896EE7" w:rsidRPr="00C9517D" w:rsidRDefault="00896EE7" w:rsidP="00306F4D">
            <w:pPr>
              <w:pStyle w:val="BodyText"/>
              <w:ind w:right="-450" w:hanging="108"/>
              <w:jc w:val="center"/>
              <w:rPr>
                <w:color w:val="auto"/>
                <w:sz w:val="20"/>
                <w:highlight w:val="yellow"/>
              </w:rPr>
            </w:pPr>
          </w:p>
        </w:tc>
        <w:tc>
          <w:tcPr>
            <w:tcW w:w="1170" w:type="dxa"/>
            <w:tcBorders>
              <w:top w:val="single" w:sz="8" w:space="0" w:color="auto"/>
              <w:left w:val="single" w:sz="4" w:space="0" w:color="auto"/>
              <w:right w:val="single" w:sz="4" w:space="0" w:color="auto"/>
            </w:tcBorders>
          </w:tcPr>
          <w:p w:rsidR="00896EE7" w:rsidRPr="00052600" w:rsidRDefault="00896EE7" w:rsidP="003263AE">
            <w:pPr>
              <w:pStyle w:val="BodyText"/>
              <w:ind w:right="-450" w:hanging="108"/>
              <w:jc w:val="center"/>
              <w:rPr>
                <w:color w:val="auto"/>
                <w:sz w:val="20"/>
              </w:rPr>
            </w:pPr>
          </w:p>
        </w:tc>
        <w:tc>
          <w:tcPr>
            <w:tcW w:w="1890" w:type="dxa"/>
            <w:tcBorders>
              <w:top w:val="single" w:sz="8" w:space="0" w:color="auto"/>
              <w:left w:val="single" w:sz="4" w:space="0" w:color="auto"/>
              <w:right w:val="single" w:sz="4" w:space="0" w:color="auto"/>
            </w:tcBorders>
          </w:tcPr>
          <w:p w:rsidR="00896EE7" w:rsidRPr="00C9517D" w:rsidRDefault="00896EE7" w:rsidP="003263AE">
            <w:pPr>
              <w:pStyle w:val="BodyText"/>
              <w:ind w:right="-450" w:hanging="108"/>
              <w:jc w:val="center"/>
              <w:rPr>
                <w:color w:val="auto"/>
                <w:sz w:val="20"/>
                <w:highlight w:val="yellow"/>
              </w:rPr>
            </w:pP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rPr>
                <w:sz w:val="20"/>
              </w:rPr>
            </w:pPr>
            <w:r w:rsidRPr="00052600">
              <w:rPr>
                <w:sz w:val="20"/>
              </w:rPr>
              <w:t>Card and Payment Services</w:t>
            </w:r>
          </w:p>
        </w:tc>
        <w:tc>
          <w:tcPr>
            <w:tcW w:w="1170" w:type="dxa"/>
            <w:tcBorders>
              <w:left w:val="single" w:sz="4" w:space="0" w:color="auto"/>
              <w:right w:val="single" w:sz="4" w:space="0" w:color="auto"/>
            </w:tcBorders>
            <w:shd w:val="clear" w:color="auto" w:fill="auto"/>
          </w:tcPr>
          <w:p w:rsidR="00896EE7" w:rsidRPr="00052600" w:rsidRDefault="00896EE7" w:rsidP="00896EE7">
            <w:pPr>
              <w:pStyle w:val="BodyText"/>
              <w:ind w:right="-450" w:hanging="108"/>
              <w:rPr>
                <w:color w:val="auto"/>
                <w:sz w:val="20"/>
              </w:rPr>
            </w:pPr>
            <w:r>
              <w:rPr>
                <w:color w:val="auto"/>
                <w:sz w:val="20"/>
              </w:rPr>
              <w:t xml:space="preserve">        </w:t>
            </w:r>
            <w:r w:rsidRPr="00052600">
              <w:rPr>
                <w:color w:val="auto"/>
                <w:sz w:val="20"/>
              </w:rPr>
              <w:t>22,531</w:t>
            </w:r>
          </w:p>
        </w:tc>
        <w:tc>
          <w:tcPr>
            <w:tcW w:w="1890" w:type="dxa"/>
            <w:tcBorders>
              <w:left w:val="single" w:sz="4" w:space="0" w:color="auto"/>
              <w:right w:val="single" w:sz="4" w:space="0" w:color="auto"/>
            </w:tcBorders>
            <w:shd w:val="clear" w:color="auto" w:fill="auto"/>
          </w:tcPr>
          <w:p w:rsidR="00896EE7" w:rsidRPr="00896EE7" w:rsidRDefault="00896EE7" w:rsidP="000074DA">
            <w:pPr>
              <w:pStyle w:val="BodyText"/>
              <w:jc w:val="center"/>
              <w:rPr>
                <w:sz w:val="20"/>
              </w:rPr>
            </w:pPr>
            <w:r w:rsidRPr="00896EE7">
              <w:rPr>
                <w:sz w:val="20"/>
              </w:rPr>
              <w:t>27,081</w:t>
            </w:r>
          </w:p>
        </w:tc>
        <w:tc>
          <w:tcPr>
            <w:tcW w:w="1170" w:type="dxa"/>
            <w:tcBorders>
              <w:left w:val="single" w:sz="4" w:space="0" w:color="auto"/>
              <w:right w:val="single" w:sz="4" w:space="0" w:color="auto"/>
            </w:tcBorders>
            <w:shd w:val="clear" w:color="auto" w:fill="auto"/>
          </w:tcPr>
          <w:p w:rsidR="00896EE7" w:rsidRPr="00052600" w:rsidRDefault="00896EE7" w:rsidP="003263AE">
            <w:pPr>
              <w:pStyle w:val="BodyText"/>
              <w:ind w:right="-450" w:hanging="108"/>
              <w:rPr>
                <w:color w:val="auto"/>
                <w:sz w:val="20"/>
              </w:rPr>
            </w:pPr>
            <w:r>
              <w:rPr>
                <w:color w:val="auto"/>
                <w:sz w:val="20"/>
              </w:rPr>
              <w:t xml:space="preserve">        </w:t>
            </w:r>
            <w:r w:rsidRPr="00052600">
              <w:rPr>
                <w:color w:val="auto"/>
                <w:sz w:val="20"/>
              </w:rPr>
              <w:t>22,531</w:t>
            </w:r>
          </w:p>
        </w:tc>
        <w:tc>
          <w:tcPr>
            <w:tcW w:w="1890" w:type="dxa"/>
            <w:tcBorders>
              <w:left w:val="single" w:sz="4" w:space="0" w:color="auto"/>
              <w:right w:val="single" w:sz="4" w:space="0" w:color="auto"/>
            </w:tcBorders>
            <w:shd w:val="clear" w:color="auto" w:fill="auto"/>
          </w:tcPr>
          <w:p w:rsidR="00896EE7" w:rsidRPr="00896EE7" w:rsidRDefault="00896EE7" w:rsidP="003263AE">
            <w:pPr>
              <w:pStyle w:val="BodyText"/>
              <w:jc w:val="center"/>
              <w:rPr>
                <w:sz w:val="20"/>
              </w:rPr>
            </w:pPr>
            <w:r w:rsidRPr="00896EE7">
              <w:rPr>
                <w:sz w:val="20"/>
              </w:rPr>
              <w:t>27,081</w:t>
            </w: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rPr>
                <w:sz w:val="20"/>
              </w:rPr>
            </w:pPr>
            <w:r w:rsidRPr="00052600">
              <w:rPr>
                <w:sz w:val="20"/>
              </w:rPr>
              <w:t>Papua New Guinea - Automotive</w:t>
            </w:r>
          </w:p>
        </w:tc>
        <w:tc>
          <w:tcPr>
            <w:tcW w:w="1170" w:type="dxa"/>
            <w:tcBorders>
              <w:left w:val="single" w:sz="4" w:space="0" w:color="auto"/>
              <w:right w:val="single" w:sz="4" w:space="0" w:color="auto"/>
            </w:tcBorders>
            <w:shd w:val="clear" w:color="auto" w:fill="auto"/>
          </w:tcPr>
          <w:p w:rsidR="00896EE7" w:rsidRPr="00052600" w:rsidRDefault="00896EE7" w:rsidP="00896EE7">
            <w:pPr>
              <w:pStyle w:val="BodyText"/>
              <w:ind w:right="-18" w:hanging="108"/>
              <w:jc w:val="center"/>
              <w:rPr>
                <w:color w:val="auto"/>
                <w:sz w:val="20"/>
              </w:rPr>
            </w:pPr>
            <w:r>
              <w:rPr>
                <w:color w:val="auto"/>
                <w:sz w:val="20"/>
              </w:rPr>
              <w:t xml:space="preserve">        </w:t>
            </w:r>
            <w:r w:rsidRPr="00052600">
              <w:rPr>
                <w:color w:val="auto"/>
                <w:sz w:val="20"/>
              </w:rPr>
              <w:t>5,404</w:t>
            </w:r>
          </w:p>
        </w:tc>
        <w:tc>
          <w:tcPr>
            <w:tcW w:w="1890" w:type="dxa"/>
            <w:tcBorders>
              <w:left w:val="single" w:sz="4" w:space="0" w:color="auto"/>
              <w:right w:val="single" w:sz="4" w:space="0" w:color="auto"/>
            </w:tcBorders>
            <w:shd w:val="clear" w:color="auto" w:fill="auto"/>
          </w:tcPr>
          <w:p w:rsidR="00896EE7" w:rsidRPr="00896EE7" w:rsidRDefault="00896EE7" w:rsidP="000074DA">
            <w:pPr>
              <w:pStyle w:val="BodyText"/>
              <w:tabs>
                <w:tab w:val="left" w:pos="1325"/>
              </w:tabs>
              <w:jc w:val="center"/>
              <w:rPr>
                <w:sz w:val="20"/>
              </w:rPr>
            </w:pPr>
            <w:r w:rsidRPr="00896EE7">
              <w:rPr>
                <w:sz w:val="20"/>
              </w:rPr>
              <w:t>11,423</w:t>
            </w:r>
          </w:p>
        </w:tc>
        <w:tc>
          <w:tcPr>
            <w:tcW w:w="1170" w:type="dxa"/>
            <w:tcBorders>
              <w:left w:val="single" w:sz="4" w:space="0" w:color="auto"/>
              <w:right w:val="single" w:sz="4" w:space="0" w:color="auto"/>
            </w:tcBorders>
            <w:shd w:val="clear" w:color="auto" w:fill="auto"/>
          </w:tcPr>
          <w:p w:rsidR="00896EE7" w:rsidRPr="00052600" w:rsidRDefault="00896EE7" w:rsidP="003263AE">
            <w:pPr>
              <w:pStyle w:val="BodyText"/>
              <w:ind w:right="-18" w:hanging="108"/>
              <w:jc w:val="center"/>
              <w:rPr>
                <w:color w:val="auto"/>
                <w:sz w:val="20"/>
              </w:rPr>
            </w:pPr>
            <w:r>
              <w:rPr>
                <w:color w:val="auto"/>
                <w:sz w:val="20"/>
              </w:rPr>
              <w:t xml:space="preserve">        </w:t>
            </w:r>
            <w:r w:rsidRPr="00052600">
              <w:rPr>
                <w:color w:val="auto"/>
                <w:sz w:val="20"/>
              </w:rPr>
              <w:t>5,404</w:t>
            </w:r>
          </w:p>
        </w:tc>
        <w:tc>
          <w:tcPr>
            <w:tcW w:w="1890" w:type="dxa"/>
            <w:tcBorders>
              <w:left w:val="single" w:sz="4" w:space="0" w:color="auto"/>
              <w:right w:val="single" w:sz="4" w:space="0" w:color="auto"/>
            </w:tcBorders>
            <w:shd w:val="clear" w:color="auto" w:fill="auto"/>
          </w:tcPr>
          <w:p w:rsidR="00896EE7" w:rsidRPr="00896EE7" w:rsidRDefault="00896EE7" w:rsidP="003263AE">
            <w:pPr>
              <w:pStyle w:val="BodyText"/>
              <w:tabs>
                <w:tab w:val="left" w:pos="1325"/>
              </w:tabs>
              <w:jc w:val="center"/>
              <w:rPr>
                <w:sz w:val="20"/>
              </w:rPr>
            </w:pPr>
            <w:r w:rsidRPr="00896EE7">
              <w:rPr>
                <w:sz w:val="20"/>
              </w:rPr>
              <w:t>11,423</w:t>
            </w: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rPr>
                <w:sz w:val="20"/>
              </w:rPr>
            </w:pPr>
            <w:r w:rsidRPr="00052600">
              <w:rPr>
                <w:sz w:val="20"/>
              </w:rPr>
              <w:t>Papua New Guinea - Agriculture</w:t>
            </w:r>
          </w:p>
        </w:tc>
        <w:tc>
          <w:tcPr>
            <w:tcW w:w="1170" w:type="dxa"/>
            <w:tcBorders>
              <w:left w:val="single" w:sz="4" w:space="0" w:color="auto"/>
              <w:right w:val="single" w:sz="4" w:space="0" w:color="auto"/>
            </w:tcBorders>
            <w:shd w:val="clear" w:color="auto" w:fill="auto"/>
          </w:tcPr>
          <w:p w:rsidR="00896EE7" w:rsidRPr="00052600" w:rsidRDefault="00896EE7" w:rsidP="00896EE7">
            <w:pPr>
              <w:pStyle w:val="BodyText"/>
              <w:ind w:right="-18" w:hanging="108"/>
              <w:jc w:val="center"/>
              <w:rPr>
                <w:color w:val="auto"/>
                <w:sz w:val="20"/>
              </w:rPr>
            </w:pPr>
            <w:r>
              <w:rPr>
                <w:color w:val="auto"/>
                <w:sz w:val="20"/>
              </w:rPr>
              <w:t xml:space="preserve">       </w:t>
            </w:r>
            <w:r w:rsidRPr="00052600">
              <w:rPr>
                <w:color w:val="auto"/>
                <w:sz w:val="20"/>
              </w:rPr>
              <w:t>22,609</w:t>
            </w:r>
          </w:p>
        </w:tc>
        <w:tc>
          <w:tcPr>
            <w:tcW w:w="1890" w:type="dxa"/>
            <w:tcBorders>
              <w:left w:val="single" w:sz="4" w:space="0" w:color="auto"/>
              <w:right w:val="single" w:sz="4" w:space="0" w:color="auto"/>
            </w:tcBorders>
            <w:shd w:val="clear" w:color="auto" w:fill="auto"/>
          </w:tcPr>
          <w:p w:rsidR="00896EE7" w:rsidRPr="00896EE7" w:rsidRDefault="007A6B89" w:rsidP="000074DA">
            <w:pPr>
              <w:pStyle w:val="BodyText"/>
              <w:tabs>
                <w:tab w:val="left" w:pos="1325"/>
              </w:tabs>
              <w:jc w:val="center"/>
              <w:rPr>
                <w:sz w:val="20"/>
              </w:rPr>
            </w:pPr>
            <w:r>
              <w:rPr>
                <w:sz w:val="20"/>
              </w:rPr>
              <w:t>(</w:t>
            </w:r>
            <w:r w:rsidR="00896EE7" w:rsidRPr="00896EE7">
              <w:rPr>
                <w:sz w:val="20"/>
              </w:rPr>
              <w:t>222)</w:t>
            </w:r>
          </w:p>
        </w:tc>
        <w:tc>
          <w:tcPr>
            <w:tcW w:w="1170" w:type="dxa"/>
            <w:tcBorders>
              <w:left w:val="single" w:sz="4" w:space="0" w:color="auto"/>
              <w:right w:val="single" w:sz="4" w:space="0" w:color="auto"/>
            </w:tcBorders>
            <w:shd w:val="clear" w:color="auto" w:fill="auto"/>
          </w:tcPr>
          <w:p w:rsidR="00896EE7" w:rsidRPr="00052600" w:rsidRDefault="00896EE7" w:rsidP="003263AE">
            <w:pPr>
              <w:pStyle w:val="BodyText"/>
              <w:ind w:right="-18" w:hanging="108"/>
              <w:jc w:val="center"/>
              <w:rPr>
                <w:color w:val="auto"/>
                <w:sz w:val="20"/>
              </w:rPr>
            </w:pPr>
            <w:r>
              <w:rPr>
                <w:color w:val="auto"/>
                <w:sz w:val="20"/>
              </w:rPr>
              <w:t xml:space="preserve">       </w:t>
            </w:r>
            <w:r w:rsidRPr="00052600">
              <w:rPr>
                <w:color w:val="auto"/>
                <w:sz w:val="20"/>
              </w:rPr>
              <w:t>22,609</w:t>
            </w:r>
          </w:p>
        </w:tc>
        <w:tc>
          <w:tcPr>
            <w:tcW w:w="1890" w:type="dxa"/>
            <w:tcBorders>
              <w:left w:val="single" w:sz="4" w:space="0" w:color="auto"/>
              <w:right w:val="single" w:sz="4" w:space="0" w:color="auto"/>
            </w:tcBorders>
            <w:shd w:val="clear" w:color="auto" w:fill="auto"/>
          </w:tcPr>
          <w:p w:rsidR="00896EE7" w:rsidRPr="00896EE7" w:rsidRDefault="00896EE7" w:rsidP="007A6B89">
            <w:pPr>
              <w:pStyle w:val="BodyText"/>
              <w:tabs>
                <w:tab w:val="left" w:pos="1325"/>
              </w:tabs>
              <w:jc w:val="center"/>
              <w:rPr>
                <w:sz w:val="20"/>
              </w:rPr>
            </w:pPr>
            <w:r w:rsidRPr="00896EE7">
              <w:rPr>
                <w:sz w:val="20"/>
              </w:rPr>
              <w:t xml:space="preserve">   </w:t>
            </w:r>
            <w:r w:rsidR="007A6B89">
              <w:rPr>
                <w:sz w:val="20"/>
              </w:rPr>
              <w:t xml:space="preserve"> (</w:t>
            </w:r>
            <w:r w:rsidRPr="00896EE7">
              <w:rPr>
                <w:sz w:val="20"/>
              </w:rPr>
              <w:t>222)</w:t>
            </w: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jc w:val="left"/>
              <w:rPr>
                <w:sz w:val="20"/>
              </w:rPr>
            </w:pPr>
            <w:r w:rsidRPr="00052600">
              <w:rPr>
                <w:sz w:val="20"/>
              </w:rPr>
              <w:t>Fiji - Retail and Wholesale</w:t>
            </w:r>
          </w:p>
        </w:tc>
        <w:tc>
          <w:tcPr>
            <w:tcW w:w="1170" w:type="dxa"/>
            <w:tcBorders>
              <w:left w:val="single" w:sz="4" w:space="0" w:color="auto"/>
              <w:right w:val="single" w:sz="4" w:space="0" w:color="auto"/>
            </w:tcBorders>
            <w:shd w:val="clear" w:color="auto" w:fill="auto"/>
          </w:tcPr>
          <w:p w:rsidR="00896EE7" w:rsidRPr="00052600" w:rsidRDefault="00896EE7" w:rsidP="00896EE7">
            <w:pPr>
              <w:pStyle w:val="BodyText"/>
              <w:ind w:right="-18" w:hanging="108"/>
              <w:jc w:val="center"/>
              <w:rPr>
                <w:color w:val="auto"/>
                <w:sz w:val="20"/>
              </w:rPr>
            </w:pPr>
            <w:r>
              <w:rPr>
                <w:color w:val="auto"/>
                <w:sz w:val="20"/>
              </w:rPr>
              <w:t xml:space="preserve">         </w:t>
            </w:r>
            <w:r w:rsidRPr="00052600">
              <w:rPr>
                <w:color w:val="auto"/>
                <w:sz w:val="20"/>
              </w:rPr>
              <w:t>(3,967)</w:t>
            </w:r>
          </w:p>
        </w:tc>
        <w:tc>
          <w:tcPr>
            <w:tcW w:w="1890" w:type="dxa"/>
            <w:tcBorders>
              <w:left w:val="single" w:sz="4" w:space="0" w:color="auto"/>
              <w:right w:val="single" w:sz="4" w:space="0" w:color="auto"/>
            </w:tcBorders>
            <w:shd w:val="clear" w:color="auto" w:fill="auto"/>
          </w:tcPr>
          <w:p w:rsidR="00896EE7" w:rsidRPr="00896EE7" w:rsidRDefault="00896EE7" w:rsidP="000074DA">
            <w:pPr>
              <w:pStyle w:val="BodyText"/>
              <w:tabs>
                <w:tab w:val="left" w:pos="1325"/>
              </w:tabs>
              <w:jc w:val="center"/>
              <w:rPr>
                <w:sz w:val="20"/>
              </w:rPr>
            </w:pPr>
            <w:r w:rsidRPr="00896EE7">
              <w:rPr>
                <w:sz w:val="20"/>
              </w:rPr>
              <w:t>(2,102)</w:t>
            </w:r>
          </w:p>
        </w:tc>
        <w:tc>
          <w:tcPr>
            <w:tcW w:w="1170" w:type="dxa"/>
            <w:tcBorders>
              <w:left w:val="single" w:sz="4" w:space="0" w:color="auto"/>
              <w:right w:val="single" w:sz="4" w:space="0" w:color="auto"/>
            </w:tcBorders>
            <w:shd w:val="clear" w:color="auto" w:fill="auto"/>
          </w:tcPr>
          <w:p w:rsidR="00896EE7" w:rsidRPr="00052600" w:rsidRDefault="00896EE7" w:rsidP="003263AE">
            <w:pPr>
              <w:pStyle w:val="BodyText"/>
              <w:ind w:right="-18" w:hanging="108"/>
              <w:jc w:val="center"/>
              <w:rPr>
                <w:color w:val="auto"/>
                <w:sz w:val="20"/>
              </w:rPr>
            </w:pPr>
            <w:r>
              <w:rPr>
                <w:color w:val="auto"/>
                <w:sz w:val="20"/>
              </w:rPr>
              <w:t xml:space="preserve">         </w:t>
            </w:r>
            <w:r w:rsidRPr="00052600">
              <w:rPr>
                <w:color w:val="auto"/>
                <w:sz w:val="20"/>
              </w:rPr>
              <w:t>(3,967)</w:t>
            </w:r>
          </w:p>
        </w:tc>
        <w:tc>
          <w:tcPr>
            <w:tcW w:w="1890" w:type="dxa"/>
            <w:tcBorders>
              <w:left w:val="single" w:sz="4" w:space="0" w:color="auto"/>
              <w:right w:val="single" w:sz="4" w:space="0" w:color="auto"/>
            </w:tcBorders>
            <w:shd w:val="clear" w:color="auto" w:fill="auto"/>
          </w:tcPr>
          <w:p w:rsidR="00896EE7" w:rsidRPr="00896EE7" w:rsidRDefault="00896EE7" w:rsidP="003263AE">
            <w:pPr>
              <w:pStyle w:val="BodyText"/>
              <w:tabs>
                <w:tab w:val="left" w:pos="1325"/>
              </w:tabs>
              <w:jc w:val="center"/>
              <w:rPr>
                <w:sz w:val="20"/>
              </w:rPr>
            </w:pPr>
            <w:r w:rsidRPr="00896EE7">
              <w:rPr>
                <w:sz w:val="20"/>
              </w:rPr>
              <w:t xml:space="preserve"> (2,102)</w:t>
            </w: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rPr>
                <w:sz w:val="20"/>
              </w:rPr>
            </w:pPr>
            <w:r w:rsidRPr="00052600">
              <w:rPr>
                <w:sz w:val="20"/>
              </w:rPr>
              <w:t>Fiji - Automotive</w:t>
            </w:r>
          </w:p>
        </w:tc>
        <w:tc>
          <w:tcPr>
            <w:tcW w:w="1170" w:type="dxa"/>
            <w:tcBorders>
              <w:left w:val="single" w:sz="4" w:space="0" w:color="auto"/>
              <w:right w:val="single" w:sz="4" w:space="0" w:color="auto"/>
            </w:tcBorders>
            <w:shd w:val="clear" w:color="auto" w:fill="auto"/>
          </w:tcPr>
          <w:p w:rsidR="00896EE7" w:rsidRPr="00052600" w:rsidRDefault="00896EE7" w:rsidP="00896EE7">
            <w:pPr>
              <w:pStyle w:val="BodyText"/>
              <w:ind w:right="-18" w:hanging="108"/>
              <w:jc w:val="center"/>
              <w:rPr>
                <w:color w:val="auto"/>
                <w:sz w:val="20"/>
              </w:rPr>
            </w:pPr>
            <w:r>
              <w:rPr>
                <w:color w:val="auto"/>
                <w:sz w:val="20"/>
              </w:rPr>
              <w:t xml:space="preserve">            </w:t>
            </w:r>
            <w:r w:rsidRPr="00052600">
              <w:rPr>
                <w:color w:val="auto"/>
                <w:sz w:val="20"/>
              </w:rPr>
              <w:t>434</w:t>
            </w:r>
          </w:p>
        </w:tc>
        <w:tc>
          <w:tcPr>
            <w:tcW w:w="1890" w:type="dxa"/>
            <w:tcBorders>
              <w:left w:val="single" w:sz="4" w:space="0" w:color="auto"/>
              <w:right w:val="single" w:sz="4" w:space="0" w:color="auto"/>
            </w:tcBorders>
            <w:shd w:val="clear" w:color="auto" w:fill="auto"/>
          </w:tcPr>
          <w:p w:rsidR="00896EE7" w:rsidRPr="00896EE7" w:rsidRDefault="00896EE7" w:rsidP="000074DA">
            <w:pPr>
              <w:pStyle w:val="BodyText"/>
              <w:tabs>
                <w:tab w:val="left" w:pos="1325"/>
              </w:tabs>
              <w:jc w:val="center"/>
              <w:rPr>
                <w:sz w:val="20"/>
              </w:rPr>
            </w:pPr>
            <w:r w:rsidRPr="00896EE7">
              <w:rPr>
                <w:sz w:val="20"/>
              </w:rPr>
              <w:t>3,100</w:t>
            </w:r>
          </w:p>
        </w:tc>
        <w:tc>
          <w:tcPr>
            <w:tcW w:w="1170" w:type="dxa"/>
            <w:tcBorders>
              <w:left w:val="single" w:sz="4" w:space="0" w:color="auto"/>
              <w:right w:val="single" w:sz="4" w:space="0" w:color="auto"/>
            </w:tcBorders>
            <w:shd w:val="clear" w:color="auto" w:fill="auto"/>
          </w:tcPr>
          <w:p w:rsidR="00896EE7" w:rsidRPr="00052600" w:rsidRDefault="00896EE7" w:rsidP="003263AE">
            <w:pPr>
              <w:pStyle w:val="BodyText"/>
              <w:ind w:right="-18" w:hanging="108"/>
              <w:jc w:val="center"/>
              <w:rPr>
                <w:color w:val="auto"/>
                <w:sz w:val="20"/>
              </w:rPr>
            </w:pPr>
            <w:r>
              <w:rPr>
                <w:color w:val="auto"/>
                <w:sz w:val="20"/>
              </w:rPr>
              <w:t xml:space="preserve">            </w:t>
            </w:r>
            <w:r w:rsidRPr="00052600">
              <w:rPr>
                <w:color w:val="auto"/>
                <w:sz w:val="20"/>
              </w:rPr>
              <w:t>434</w:t>
            </w:r>
          </w:p>
        </w:tc>
        <w:tc>
          <w:tcPr>
            <w:tcW w:w="1890" w:type="dxa"/>
            <w:tcBorders>
              <w:left w:val="single" w:sz="4" w:space="0" w:color="auto"/>
              <w:right w:val="single" w:sz="4" w:space="0" w:color="auto"/>
            </w:tcBorders>
            <w:shd w:val="clear" w:color="auto" w:fill="auto"/>
          </w:tcPr>
          <w:p w:rsidR="00896EE7" w:rsidRPr="00896EE7" w:rsidRDefault="00896EE7" w:rsidP="003263AE">
            <w:pPr>
              <w:pStyle w:val="BodyText"/>
              <w:tabs>
                <w:tab w:val="left" w:pos="1325"/>
              </w:tabs>
              <w:jc w:val="center"/>
              <w:rPr>
                <w:sz w:val="20"/>
              </w:rPr>
            </w:pPr>
            <w:r w:rsidRPr="00896EE7">
              <w:rPr>
                <w:sz w:val="20"/>
              </w:rPr>
              <w:t xml:space="preserve"> 3,100</w:t>
            </w: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rPr>
                <w:sz w:val="20"/>
              </w:rPr>
            </w:pPr>
            <w:r w:rsidRPr="00052600">
              <w:rPr>
                <w:sz w:val="20"/>
              </w:rPr>
              <w:t>Fiji - Property</w:t>
            </w:r>
          </w:p>
        </w:tc>
        <w:tc>
          <w:tcPr>
            <w:tcW w:w="1170" w:type="dxa"/>
            <w:tcBorders>
              <w:left w:val="single" w:sz="4" w:space="0" w:color="auto"/>
              <w:right w:val="single" w:sz="4" w:space="0" w:color="auto"/>
            </w:tcBorders>
            <w:shd w:val="clear" w:color="auto" w:fill="auto"/>
          </w:tcPr>
          <w:p w:rsidR="00896EE7" w:rsidRPr="00052600" w:rsidRDefault="00896EE7" w:rsidP="00896EE7">
            <w:pPr>
              <w:pStyle w:val="BodyText"/>
              <w:ind w:right="-18" w:hanging="108"/>
              <w:jc w:val="center"/>
              <w:rPr>
                <w:color w:val="auto"/>
                <w:sz w:val="20"/>
              </w:rPr>
            </w:pPr>
            <w:r>
              <w:rPr>
                <w:color w:val="auto"/>
                <w:sz w:val="20"/>
              </w:rPr>
              <w:t xml:space="preserve">         </w:t>
            </w:r>
            <w:r w:rsidRPr="00052600">
              <w:rPr>
                <w:color w:val="auto"/>
                <w:sz w:val="20"/>
              </w:rPr>
              <w:t>3,235</w:t>
            </w:r>
          </w:p>
        </w:tc>
        <w:tc>
          <w:tcPr>
            <w:tcW w:w="1890" w:type="dxa"/>
            <w:tcBorders>
              <w:left w:val="single" w:sz="4" w:space="0" w:color="auto"/>
              <w:right w:val="single" w:sz="4" w:space="0" w:color="auto"/>
            </w:tcBorders>
            <w:shd w:val="clear" w:color="auto" w:fill="auto"/>
          </w:tcPr>
          <w:p w:rsidR="00896EE7" w:rsidRPr="00896EE7" w:rsidRDefault="00896EE7" w:rsidP="000074DA">
            <w:pPr>
              <w:pStyle w:val="BodyText"/>
              <w:tabs>
                <w:tab w:val="left" w:pos="1325"/>
              </w:tabs>
              <w:jc w:val="center"/>
              <w:rPr>
                <w:sz w:val="20"/>
              </w:rPr>
            </w:pPr>
            <w:r w:rsidRPr="00896EE7">
              <w:rPr>
                <w:sz w:val="20"/>
              </w:rPr>
              <w:t>4,294</w:t>
            </w:r>
          </w:p>
        </w:tc>
        <w:tc>
          <w:tcPr>
            <w:tcW w:w="1170" w:type="dxa"/>
            <w:tcBorders>
              <w:left w:val="single" w:sz="4" w:space="0" w:color="auto"/>
              <w:right w:val="single" w:sz="4" w:space="0" w:color="auto"/>
            </w:tcBorders>
            <w:shd w:val="clear" w:color="auto" w:fill="auto"/>
          </w:tcPr>
          <w:p w:rsidR="00896EE7" w:rsidRPr="00052600" w:rsidRDefault="00896EE7" w:rsidP="003263AE">
            <w:pPr>
              <w:pStyle w:val="BodyText"/>
              <w:ind w:right="-18" w:hanging="108"/>
              <w:jc w:val="center"/>
              <w:rPr>
                <w:color w:val="auto"/>
                <w:sz w:val="20"/>
              </w:rPr>
            </w:pPr>
            <w:r>
              <w:rPr>
                <w:color w:val="auto"/>
                <w:sz w:val="20"/>
              </w:rPr>
              <w:t xml:space="preserve">         </w:t>
            </w:r>
            <w:r w:rsidRPr="00052600">
              <w:rPr>
                <w:color w:val="auto"/>
                <w:sz w:val="20"/>
              </w:rPr>
              <w:t>3,235</w:t>
            </w:r>
          </w:p>
        </w:tc>
        <w:tc>
          <w:tcPr>
            <w:tcW w:w="1890" w:type="dxa"/>
            <w:tcBorders>
              <w:left w:val="single" w:sz="4" w:space="0" w:color="auto"/>
              <w:right w:val="single" w:sz="4" w:space="0" w:color="auto"/>
            </w:tcBorders>
            <w:shd w:val="clear" w:color="auto" w:fill="auto"/>
          </w:tcPr>
          <w:p w:rsidR="00896EE7" w:rsidRPr="00896EE7" w:rsidRDefault="00896EE7" w:rsidP="003263AE">
            <w:pPr>
              <w:pStyle w:val="BodyText"/>
              <w:tabs>
                <w:tab w:val="left" w:pos="1325"/>
              </w:tabs>
              <w:jc w:val="center"/>
              <w:rPr>
                <w:sz w:val="20"/>
              </w:rPr>
            </w:pPr>
            <w:r w:rsidRPr="00896EE7">
              <w:rPr>
                <w:sz w:val="20"/>
              </w:rPr>
              <w:t xml:space="preserve"> 4,294</w:t>
            </w: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rPr>
                <w:sz w:val="20"/>
              </w:rPr>
            </w:pPr>
            <w:r w:rsidRPr="00052600">
              <w:rPr>
                <w:sz w:val="20"/>
              </w:rPr>
              <w:t>Shipping</w:t>
            </w:r>
          </w:p>
        </w:tc>
        <w:tc>
          <w:tcPr>
            <w:tcW w:w="1170" w:type="dxa"/>
            <w:tcBorders>
              <w:left w:val="single" w:sz="4" w:space="0" w:color="auto"/>
              <w:right w:val="single" w:sz="4" w:space="0" w:color="auto"/>
            </w:tcBorders>
            <w:shd w:val="clear" w:color="auto" w:fill="auto"/>
          </w:tcPr>
          <w:p w:rsidR="00896EE7" w:rsidRPr="00052600" w:rsidRDefault="00896EE7" w:rsidP="00896EE7">
            <w:pPr>
              <w:pStyle w:val="BodyText"/>
              <w:ind w:right="-450" w:hanging="108"/>
              <w:rPr>
                <w:color w:val="auto"/>
                <w:sz w:val="20"/>
              </w:rPr>
            </w:pPr>
            <w:r>
              <w:rPr>
                <w:color w:val="auto"/>
                <w:sz w:val="20"/>
              </w:rPr>
              <w:t xml:space="preserve">       </w:t>
            </w:r>
            <w:r w:rsidRPr="00052600">
              <w:rPr>
                <w:color w:val="auto"/>
                <w:sz w:val="20"/>
              </w:rPr>
              <w:t>(11,848)</w:t>
            </w:r>
          </w:p>
        </w:tc>
        <w:tc>
          <w:tcPr>
            <w:tcW w:w="1890" w:type="dxa"/>
            <w:tcBorders>
              <w:left w:val="single" w:sz="4" w:space="0" w:color="auto"/>
              <w:right w:val="single" w:sz="4" w:space="0" w:color="auto"/>
            </w:tcBorders>
            <w:shd w:val="clear" w:color="auto" w:fill="auto"/>
          </w:tcPr>
          <w:p w:rsidR="00896EE7" w:rsidRPr="00896EE7" w:rsidRDefault="00896EE7" w:rsidP="000074DA">
            <w:pPr>
              <w:pStyle w:val="BodyText"/>
              <w:tabs>
                <w:tab w:val="left" w:pos="1325"/>
              </w:tabs>
              <w:jc w:val="center"/>
              <w:rPr>
                <w:sz w:val="20"/>
              </w:rPr>
            </w:pPr>
            <w:r w:rsidRPr="00896EE7">
              <w:rPr>
                <w:sz w:val="20"/>
              </w:rPr>
              <w:t>1,377</w:t>
            </w:r>
          </w:p>
        </w:tc>
        <w:tc>
          <w:tcPr>
            <w:tcW w:w="1170" w:type="dxa"/>
            <w:tcBorders>
              <w:left w:val="single" w:sz="4" w:space="0" w:color="auto"/>
              <w:right w:val="single" w:sz="4" w:space="0" w:color="auto"/>
            </w:tcBorders>
            <w:shd w:val="clear" w:color="auto" w:fill="auto"/>
          </w:tcPr>
          <w:p w:rsidR="00896EE7" w:rsidRPr="00052600" w:rsidRDefault="00896EE7" w:rsidP="003263AE">
            <w:pPr>
              <w:pStyle w:val="BodyText"/>
              <w:ind w:right="-450" w:hanging="108"/>
              <w:rPr>
                <w:color w:val="auto"/>
                <w:sz w:val="20"/>
              </w:rPr>
            </w:pPr>
            <w:r>
              <w:rPr>
                <w:color w:val="auto"/>
                <w:sz w:val="20"/>
              </w:rPr>
              <w:t xml:space="preserve">       </w:t>
            </w:r>
            <w:r w:rsidRPr="00052600">
              <w:rPr>
                <w:color w:val="auto"/>
                <w:sz w:val="20"/>
              </w:rPr>
              <w:t>(11,848)</w:t>
            </w:r>
          </w:p>
        </w:tc>
        <w:tc>
          <w:tcPr>
            <w:tcW w:w="1890" w:type="dxa"/>
            <w:tcBorders>
              <w:left w:val="single" w:sz="4" w:space="0" w:color="auto"/>
              <w:right w:val="single" w:sz="4" w:space="0" w:color="auto"/>
            </w:tcBorders>
            <w:shd w:val="clear" w:color="auto" w:fill="auto"/>
          </w:tcPr>
          <w:p w:rsidR="00896EE7" w:rsidRPr="00896EE7" w:rsidRDefault="00896EE7" w:rsidP="003263AE">
            <w:pPr>
              <w:pStyle w:val="BodyText"/>
              <w:tabs>
                <w:tab w:val="left" w:pos="1325"/>
              </w:tabs>
              <w:jc w:val="center"/>
              <w:rPr>
                <w:sz w:val="20"/>
              </w:rPr>
            </w:pPr>
            <w:r w:rsidRPr="00896EE7">
              <w:rPr>
                <w:sz w:val="20"/>
              </w:rPr>
              <w:t xml:space="preserve"> 1,377</w:t>
            </w:r>
          </w:p>
        </w:tc>
      </w:tr>
      <w:tr w:rsidR="000F1976" w:rsidRPr="00C9517D">
        <w:tc>
          <w:tcPr>
            <w:tcW w:w="2880" w:type="dxa"/>
            <w:tcBorders>
              <w:right w:val="single" w:sz="4" w:space="0" w:color="auto"/>
            </w:tcBorders>
            <w:shd w:val="clear" w:color="auto" w:fill="auto"/>
          </w:tcPr>
          <w:p w:rsidR="000F1976" w:rsidRPr="00052600" w:rsidRDefault="000F1976" w:rsidP="00684D6B">
            <w:pPr>
              <w:pStyle w:val="BodyText"/>
              <w:ind w:right="-108" w:firstLine="72"/>
              <w:rPr>
                <w:sz w:val="20"/>
              </w:rPr>
            </w:pPr>
            <w:r w:rsidRPr="00052600">
              <w:rPr>
                <w:sz w:val="20"/>
              </w:rPr>
              <w:t>Other segments</w:t>
            </w:r>
          </w:p>
        </w:tc>
        <w:tc>
          <w:tcPr>
            <w:tcW w:w="1170" w:type="dxa"/>
            <w:tcBorders>
              <w:left w:val="single" w:sz="4" w:space="0" w:color="auto"/>
              <w:right w:val="single" w:sz="4" w:space="0" w:color="auto"/>
            </w:tcBorders>
            <w:shd w:val="clear" w:color="auto" w:fill="auto"/>
          </w:tcPr>
          <w:p w:rsidR="000F1976" w:rsidRPr="00052600" w:rsidRDefault="000F1976" w:rsidP="00896EE7">
            <w:pPr>
              <w:pStyle w:val="BodyText"/>
              <w:ind w:right="-450" w:hanging="108"/>
              <w:jc w:val="center"/>
              <w:rPr>
                <w:color w:val="auto"/>
                <w:sz w:val="20"/>
              </w:rPr>
            </w:pPr>
            <w:r>
              <w:rPr>
                <w:color w:val="auto"/>
                <w:sz w:val="20"/>
              </w:rPr>
              <w:t xml:space="preserve">   </w:t>
            </w:r>
            <w:r w:rsidRPr="00052600">
              <w:rPr>
                <w:color w:val="auto"/>
                <w:sz w:val="20"/>
              </w:rPr>
              <w:t>(515)</w:t>
            </w:r>
          </w:p>
        </w:tc>
        <w:tc>
          <w:tcPr>
            <w:tcW w:w="1890" w:type="dxa"/>
            <w:tcBorders>
              <w:left w:val="single" w:sz="4" w:space="0" w:color="auto"/>
              <w:right w:val="single" w:sz="4" w:space="0" w:color="auto"/>
            </w:tcBorders>
            <w:shd w:val="clear" w:color="auto" w:fill="auto"/>
          </w:tcPr>
          <w:p w:rsidR="000F1976" w:rsidRPr="00896EE7" w:rsidRDefault="000F1976" w:rsidP="000074DA">
            <w:pPr>
              <w:pStyle w:val="BodyText"/>
              <w:jc w:val="center"/>
              <w:rPr>
                <w:sz w:val="20"/>
              </w:rPr>
            </w:pPr>
            <w:r w:rsidRPr="00896EE7">
              <w:rPr>
                <w:sz w:val="20"/>
              </w:rPr>
              <w:t>2</w:t>
            </w:r>
            <w:r>
              <w:rPr>
                <w:sz w:val="20"/>
              </w:rPr>
              <w:t>2</w:t>
            </w:r>
            <w:r w:rsidRPr="00896EE7">
              <w:rPr>
                <w:sz w:val="20"/>
              </w:rPr>
              <w:t>,</w:t>
            </w:r>
            <w:r>
              <w:rPr>
                <w:sz w:val="20"/>
              </w:rPr>
              <w:t>931</w:t>
            </w:r>
          </w:p>
        </w:tc>
        <w:tc>
          <w:tcPr>
            <w:tcW w:w="1170" w:type="dxa"/>
            <w:tcBorders>
              <w:left w:val="single" w:sz="4" w:space="0" w:color="auto"/>
              <w:right w:val="single" w:sz="4" w:space="0" w:color="auto"/>
            </w:tcBorders>
            <w:shd w:val="clear" w:color="auto" w:fill="auto"/>
          </w:tcPr>
          <w:p w:rsidR="000F1976" w:rsidRPr="00052600" w:rsidRDefault="000F1976" w:rsidP="003263AE">
            <w:pPr>
              <w:pStyle w:val="BodyText"/>
              <w:ind w:right="-450" w:hanging="108"/>
              <w:jc w:val="center"/>
              <w:rPr>
                <w:color w:val="auto"/>
                <w:sz w:val="20"/>
              </w:rPr>
            </w:pPr>
            <w:r>
              <w:rPr>
                <w:color w:val="auto"/>
                <w:sz w:val="20"/>
              </w:rPr>
              <w:t xml:space="preserve">   </w:t>
            </w:r>
            <w:r w:rsidRPr="00052600">
              <w:rPr>
                <w:color w:val="auto"/>
                <w:sz w:val="20"/>
              </w:rPr>
              <w:t>(515)</w:t>
            </w:r>
          </w:p>
        </w:tc>
        <w:tc>
          <w:tcPr>
            <w:tcW w:w="1890" w:type="dxa"/>
            <w:tcBorders>
              <w:left w:val="single" w:sz="4" w:space="0" w:color="auto"/>
              <w:right w:val="single" w:sz="4" w:space="0" w:color="auto"/>
            </w:tcBorders>
            <w:shd w:val="clear" w:color="auto" w:fill="auto"/>
          </w:tcPr>
          <w:p w:rsidR="000F1976" w:rsidRPr="00896EE7" w:rsidRDefault="000F1976" w:rsidP="00932C14">
            <w:pPr>
              <w:pStyle w:val="BodyText"/>
              <w:rPr>
                <w:sz w:val="20"/>
              </w:rPr>
            </w:pPr>
            <w:r w:rsidRPr="00896EE7">
              <w:rPr>
                <w:sz w:val="20"/>
              </w:rPr>
              <w:t xml:space="preserve">          2</w:t>
            </w:r>
            <w:r>
              <w:rPr>
                <w:sz w:val="20"/>
              </w:rPr>
              <w:t>2</w:t>
            </w:r>
            <w:r w:rsidRPr="00896EE7">
              <w:rPr>
                <w:sz w:val="20"/>
              </w:rPr>
              <w:t>,</w:t>
            </w:r>
            <w:r>
              <w:rPr>
                <w:sz w:val="20"/>
              </w:rPr>
              <w:t>931</w:t>
            </w:r>
          </w:p>
        </w:tc>
      </w:tr>
      <w:tr w:rsidR="000F1976" w:rsidRPr="00C9517D">
        <w:tc>
          <w:tcPr>
            <w:tcW w:w="2880" w:type="dxa"/>
            <w:tcBorders>
              <w:right w:val="single" w:sz="4" w:space="0" w:color="auto"/>
            </w:tcBorders>
            <w:shd w:val="clear" w:color="auto" w:fill="auto"/>
          </w:tcPr>
          <w:p w:rsidR="000F1976" w:rsidRPr="00052600" w:rsidRDefault="000F1976" w:rsidP="00684D6B">
            <w:pPr>
              <w:pStyle w:val="BodyText"/>
              <w:ind w:left="72" w:right="-450"/>
              <w:rPr>
                <w:sz w:val="20"/>
              </w:rPr>
            </w:pPr>
            <w:r w:rsidRPr="00052600">
              <w:rPr>
                <w:sz w:val="20"/>
              </w:rPr>
              <w:t xml:space="preserve">Adjustments and eliminations   </w:t>
            </w:r>
          </w:p>
        </w:tc>
        <w:tc>
          <w:tcPr>
            <w:tcW w:w="1170" w:type="dxa"/>
            <w:tcBorders>
              <w:left w:val="single" w:sz="4" w:space="0" w:color="auto"/>
              <w:right w:val="single" w:sz="4" w:space="0" w:color="auto"/>
            </w:tcBorders>
            <w:shd w:val="clear" w:color="auto" w:fill="auto"/>
          </w:tcPr>
          <w:p w:rsidR="000F1976" w:rsidRPr="00052600" w:rsidRDefault="000F1976" w:rsidP="00896EE7">
            <w:pPr>
              <w:pStyle w:val="BodyText"/>
              <w:ind w:right="-450" w:hanging="108"/>
              <w:jc w:val="center"/>
              <w:rPr>
                <w:sz w:val="20"/>
              </w:rPr>
            </w:pPr>
            <w:r>
              <w:rPr>
                <w:sz w:val="20"/>
              </w:rPr>
              <w:t>(19,261)</w:t>
            </w:r>
          </w:p>
        </w:tc>
        <w:tc>
          <w:tcPr>
            <w:tcW w:w="1890" w:type="dxa"/>
            <w:tcBorders>
              <w:left w:val="single" w:sz="4" w:space="0" w:color="auto"/>
              <w:right w:val="single" w:sz="4" w:space="0" w:color="auto"/>
            </w:tcBorders>
            <w:shd w:val="clear" w:color="auto" w:fill="auto"/>
          </w:tcPr>
          <w:p w:rsidR="000F1976" w:rsidRPr="00896EE7" w:rsidRDefault="000F1976" w:rsidP="000074DA">
            <w:pPr>
              <w:pStyle w:val="BodyText"/>
              <w:jc w:val="center"/>
              <w:rPr>
                <w:sz w:val="20"/>
              </w:rPr>
            </w:pPr>
            <w:r>
              <w:rPr>
                <w:sz w:val="20"/>
              </w:rPr>
              <w:t>(20,280</w:t>
            </w:r>
            <w:r w:rsidRPr="00896EE7">
              <w:rPr>
                <w:sz w:val="20"/>
              </w:rPr>
              <w:t>)</w:t>
            </w:r>
          </w:p>
        </w:tc>
        <w:tc>
          <w:tcPr>
            <w:tcW w:w="1170" w:type="dxa"/>
            <w:tcBorders>
              <w:left w:val="single" w:sz="4" w:space="0" w:color="auto"/>
              <w:right w:val="single" w:sz="4" w:space="0" w:color="auto"/>
            </w:tcBorders>
            <w:shd w:val="clear" w:color="auto" w:fill="auto"/>
          </w:tcPr>
          <w:p w:rsidR="000F1976" w:rsidRPr="00052600" w:rsidRDefault="000F1976" w:rsidP="003263AE">
            <w:pPr>
              <w:pStyle w:val="BodyText"/>
              <w:ind w:right="-450" w:hanging="108"/>
              <w:jc w:val="center"/>
              <w:rPr>
                <w:sz w:val="20"/>
              </w:rPr>
            </w:pPr>
            <w:r>
              <w:rPr>
                <w:sz w:val="20"/>
              </w:rPr>
              <w:t>(19,261)</w:t>
            </w:r>
          </w:p>
        </w:tc>
        <w:tc>
          <w:tcPr>
            <w:tcW w:w="1890" w:type="dxa"/>
            <w:tcBorders>
              <w:left w:val="single" w:sz="4" w:space="0" w:color="auto"/>
              <w:right w:val="single" w:sz="4" w:space="0" w:color="auto"/>
            </w:tcBorders>
            <w:shd w:val="clear" w:color="auto" w:fill="auto"/>
          </w:tcPr>
          <w:p w:rsidR="000F1976" w:rsidRPr="00896EE7" w:rsidRDefault="000F1976" w:rsidP="00932C14">
            <w:pPr>
              <w:pStyle w:val="BodyText"/>
              <w:rPr>
                <w:sz w:val="20"/>
              </w:rPr>
            </w:pPr>
            <w:r>
              <w:rPr>
                <w:sz w:val="20"/>
              </w:rPr>
              <w:t xml:space="preserve">         (20,280</w:t>
            </w:r>
            <w:r w:rsidRPr="00896EE7">
              <w:rPr>
                <w:sz w:val="20"/>
              </w:rPr>
              <w:t>)</w:t>
            </w:r>
          </w:p>
        </w:tc>
      </w:tr>
      <w:tr w:rsidR="005A728B" w:rsidRPr="00C9517D">
        <w:tc>
          <w:tcPr>
            <w:tcW w:w="2880" w:type="dxa"/>
            <w:tcBorders>
              <w:right w:val="single" w:sz="4" w:space="0" w:color="auto"/>
            </w:tcBorders>
            <w:shd w:val="clear" w:color="auto" w:fill="auto"/>
          </w:tcPr>
          <w:p w:rsidR="005A728B" w:rsidRPr="00052600" w:rsidRDefault="005A728B" w:rsidP="00684D6B">
            <w:pPr>
              <w:pStyle w:val="BodyText"/>
              <w:ind w:right="-108" w:firstLine="72"/>
              <w:rPr>
                <w:sz w:val="20"/>
              </w:rPr>
            </w:pPr>
            <w:r w:rsidRPr="00052600">
              <w:rPr>
                <w:sz w:val="20"/>
              </w:rPr>
              <w:t>Profit from operations</w:t>
            </w:r>
          </w:p>
        </w:tc>
        <w:tc>
          <w:tcPr>
            <w:tcW w:w="1170" w:type="dxa"/>
            <w:tcBorders>
              <w:top w:val="single" w:sz="4" w:space="0" w:color="auto"/>
              <w:left w:val="single" w:sz="4" w:space="0" w:color="auto"/>
              <w:right w:val="single" w:sz="4" w:space="0" w:color="auto"/>
            </w:tcBorders>
            <w:shd w:val="clear" w:color="auto" w:fill="auto"/>
          </w:tcPr>
          <w:p w:rsidR="005A728B" w:rsidRPr="00052600" w:rsidRDefault="005A728B" w:rsidP="00896EE7">
            <w:pPr>
              <w:pStyle w:val="BodyText"/>
              <w:ind w:right="-450" w:hanging="108"/>
              <w:jc w:val="center"/>
              <w:rPr>
                <w:color w:val="auto"/>
                <w:sz w:val="20"/>
              </w:rPr>
            </w:pPr>
            <w:r>
              <w:rPr>
                <w:sz w:val="20"/>
              </w:rPr>
              <w:t>18,622</w:t>
            </w:r>
          </w:p>
        </w:tc>
        <w:tc>
          <w:tcPr>
            <w:tcW w:w="1890" w:type="dxa"/>
            <w:tcBorders>
              <w:top w:val="single" w:sz="4" w:space="0" w:color="auto"/>
              <w:left w:val="single" w:sz="4" w:space="0" w:color="auto"/>
              <w:right w:val="single" w:sz="4" w:space="0" w:color="auto"/>
            </w:tcBorders>
            <w:shd w:val="clear" w:color="auto" w:fill="auto"/>
          </w:tcPr>
          <w:p w:rsidR="005A728B" w:rsidRPr="00896EE7" w:rsidRDefault="005A728B" w:rsidP="000074DA">
            <w:pPr>
              <w:pStyle w:val="BodyText"/>
              <w:jc w:val="center"/>
              <w:rPr>
                <w:sz w:val="20"/>
              </w:rPr>
            </w:pPr>
            <w:r w:rsidRPr="00896EE7">
              <w:rPr>
                <w:sz w:val="20"/>
              </w:rPr>
              <w:t>4</w:t>
            </w:r>
            <w:r>
              <w:rPr>
                <w:sz w:val="20"/>
              </w:rPr>
              <w:t>7</w:t>
            </w:r>
            <w:r w:rsidRPr="00896EE7">
              <w:rPr>
                <w:sz w:val="20"/>
              </w:rPr>
              <w:t>,</w:t>
            </w:r>
            <w:r>
              <w:rPr>
                <w:sz w:val="20"/>
              </w:rPr>
              <w:t>602</w:t>
            </w:r>
          </w:p>
        </w:tc>
        <w:tc>
          <w:tcPr>
            <w:tcW w:w="1170" w:type="dxa"/>
            <w:tcBorders>
              <w:top w:val="single" w:sz="4" w:space="0" w:color="auto"/>
              <w:left w:val="single" w:sz="4" w:space="0" w:color="auto"/>
              <w:right w:val="single" w:sz="4" w:space="0" w:color="auto"/>
            </w:tcBorders>
            <w:shd w:val="clear" w:color="auto" w:fill="auto"/>
          </w:tcPr>
          <w:p w:rsidR="005A728B" w:rsidRPr="00052600" w:rsidRDefault="005A728B" w:rsidP="003263AE">
            <w:pPr>
              <w:pStyle w:val="BodyText"/>
              <w:ind w:right="-450" w:hanging="108"/>
              <w:jc w:val="center"/>
              <w:rPr>
                <w:color w:val="auto"/>
                <w:sz w:val="20"/>
              </w:rPr>
            </w:pPr>
            <w:r>
              <w:rPr>
                <w:sz w:val="20"/>
              </w:rPr>
              <w:t>18,622</w:t>
            </w:r>
          </w:p>
        </w:tc>
        <w:tc>
          <w:tcPr>
            <w:tcW w:w="1890" w:type="dxa"/>
            <w:tcBorders>
              <w:top w:val="single" w:sz="4" w:space="0" w:color="auto"/>
              <w:left w:val="single" w:sz="4" w:space="0" w:color="auto"/>
              <w:right w:val="single" w:sz="4" w:space="0" w:color="auto"/>
            </w:tcBorders>
            <w:shd w:val="clear" w:color="auto" w:fill="auto"/>
          </w:tcPr>
          <w:p w:rsidR="005A728B" w:rsidRPr="00896EE7" w:rsidRDefault="005A728B" w:rsidP="00010D7A">
            <w:pPr>
              <w:pStyle w:val="BodyText"/>
              <w:jc w:val="center"/>
              <w:rPr>
                <w:sz w:val="20"/>
              </w:rPr>
            </w:pPr>
            <w:r w:rsidRPr="00896EE7">
              <w:rPr>
                <w:sz w:val="20"/>
              </w:rPr>
              <w:t>4</w:t>
            </w:r>
            <w:r>
              <w:rPr>
                <w:sz w:val="20"/>
              </w:rPr>
              <w:t>7</w:t>
            </w:r>
            <w:r w:rsidRPr="00896EE7">
              <w:rPr>
                <w:sz w:val="20"/>
              </w:rPr>
              <w:t>,</w:t>
            </w:r>
            <w:r>
              <w:rPr>
                <w:sz w:val="20"/>
              </w:rPr>
              <w:t>602</w:t>
            </w:r>
          </w:p>
        </w:tc>
      </w:tr>
      <w:tr w:rsidR="005A728B" w:rsidRPr="00C9517D">
        <w:tc>
          <w:tcPr>
            <w:tcW w:w="2880" w:type="dxa"/>
            <w:tcBorders>
              <w:right w:val="single" w:sz="4" w:space="0" w:color="auto"/>
            </w:tcBorders>
            <w:shd w:val="clear" w:color="auto" w:fill="auto"/>
          </w:tcPr>
          <w:p w:rsidR="005A728B" w:rsidRPr="00052600" w:rsidRDefault="005A728B" w:rsidP="00684D6B">
            <w:pPr>
              <w:pStyle w:val="BodyText"/>
              <w:ind w:right="-108" w:firstLine="72"/>
              <w:rPr>
                <w:sz w:val="20"/>
              </w:rPr>
            </w:pPr>
            <w:r w:rsidRPr="00052600">
              <w:rPr>
                <w:sz w:val="20"/>
              </w:rPr>
              <w:t>Share of results of associates</w:t>
            </w:r>
          </w:p>
        </w:tc>
        <w:tc>
          <w:tcPr>
            <w:tcW w:w="1170" w:type="dxa"/>
            <w:tcBorders>
              <w:left w:val="single" w:sz="4" w:space="0" w:color="auto"/>
              <w:bottom w:val="single" w:sz="4" w:space="0" w:color="auto"/>
              <w:right w:val="single" w:sz="4" w:space="0" w:color="auto"/>
            </w:tcBorders>
            <w:shd w:val="clear" w:color="auto" w:fill="auto"/>
          </w:tcPr>
          <w:p w:rsidR="005A728B" w:rsidRPr="00052600" w:rsidRDefault="005A728B" w:rsidP="00896EE7">
            <w:pPr>
              <w:pStyle w:val="BodyText"/>
              <w:ind w:right="-450" w:hanging="108"/>
              <w:jc w:val="center"/>
              <w:rPr>
                <w:color w:val="auto"/>
                <w:sz w:val="20"/>
              </w:rPr>
            </w:pPr>
            <w:r>
              <w:rPr>
                <w:sz w:val="20"/>
              </w:rPr>
              <w:t xml:space="preserve">    </w:t>
            </w:r>
            <w:r w:rsidRPr="00052600">
              <w:rPr>
                <w:sz w:val="20"/>
              </w:rPr>
              <w:t>504</w:t>
            </w:r>
          </w:p>
        </w:tc>
        <w:tc>
          <w:tcPr>
            <w:tcW w:w="1890" w:type="dxa"/>
            <w:tcBorders>
              <w:left w:val="single" w:sz="4" w:space="0" w:color="auto"/>
              <w:bottom w:val="single" w:sz="4" w:space="0" w:color="auto"/>
              <w:right w:val="single" w:sz="4" w:space="0" w:color="auto"/>
            </w:tcBorders>
            <w:shd w:val="clear" w:color="auto" w:fill="auto"/>
          </w:tcPr>
          <w:p w:rsidR="005A728B" w:rsidRPr="00896EE7" w:rsidRDefault="000074DA" w:rsidP="000074DA">
            <w:pPr>
              <w:pStyle w:val="BodyText"/>
              <w:ind w:right="-108" w:hanging="108"/>
              <w:jc w:val="center"/>
              <w:rPr>
                <w:sz w:val="20"/>
              </w:rPr>
            </w:pPr>
            <w:r>
              <w:rPr>
                <w:sz w:val="20"/>
              </w:rPr>
              <w:t xml:space="preserve">     </w:t>
            </w:r>
            <w:r w:rsidR="005A728B" w:rsidRPr="00896EE7">
              <w:rPr>
                <w:sz w:val="20"/>
              </w:rPr>
              <w:t>(119)</w:t>
            </w:r>
          </w:p>
        </w:tc>
        <w:tc>
          <w:tcPr>
            <w:tcW w:w="1170" w:type="dxa"/>
            <w:tcBorders>
              <w:left w:val="single" w:sz="4" w:space="0" w:color="auto"/>
              <w:bottom w:val="single" w:sz="4" w:space="0" w:color="auto"/>
              <w:right w:val="single" w:sz="4" w:space="0" w:color="auto"/>
            </w:tcBorders>
            <w:shd w:val="clear" w:color="auto" w:fill="auto"/>
          </w:tcPr>
          <w:p w:rsidR="005A728B" w:rsidRPr="00052600" w:rsidRDefault="005A728B" w:rsidP="003263AE">
            <w:pPr>
              <w:pStyle w:val="BodyText"/>
              <w:ind w:right="-450" w:hanging="108"/>
              <w:jc w:val="center"/>
              <w:rPr>
                <w:color w:val="auto"/>
                <w:sz w:val="20"/>
              </w:rPr>
            </w:pPr>
            <w:r>
              <w:rPr>
                <w:sz w:val="20"/>
              </w:rPr>
              <w:t xml:space="preserve">    </w:t>
            </w:r>
            <w:r w:rsidRPr="00052600">
              <w:rPr>
                <w:sz w:val="20"/>
              </w:rPr>
              <w:t>504</w:t>
            </w:r>
          </w:p>
        </w:tc>
        <w:tc>
          <w:tcPr>
            <w:tcW w:w="1890" w:type="dxa"/>
            <w:tcBorders>
              <w:left w:val="single" w:sz="4" w:space="0" w:color="auto"/>
              <w:bottom w:val="single" w:sz="4" w:space="0" w:color="auto"/>
              <w:right w:val="single" w:sz="4" w:space="0" w:color="auto"/>
            </w:tcBorders>
            <w:shd w:val="clear" w:color="auto" w:fill="auto"/>
          </w:tcPr>
          <w:p w:rsidR="005A728B" w:rsidRPr="00896EE7" w:rsidRDefault="005A728B" w:rsidP="00010D7A">
            <w:pPr>
              <w:pStyle w:val="BodyText"/>
              <w:ind w:right="-108" w:hanging="108"/>
              <w:jc w:val="center"/>
              <w:rPr>
                <w:sz w:val="20"/>
              </w:rPr>
            </w:pPr>
            <w:r w:rsidRPr="00896EE7">
              <w:rPr>
                <w:sz w:val="20"/>
              </w:rPr>
              <w:t xml:space="preserve">     (119)</w:t>
            </w:r>
          </w:p>
        </w:tc>
      </w:tr>
      <w:tr w:rsidR="005A728B" w:rsidRPr="00BC3B33">
        <w:tc>
          <w:tcPr>
            <w:tcW w:w="2880" w:type="dxa"/>
            <w:tcBorders>
              <w:right w:val="single" w:sz="4" w:space="0" w:color="auto"/>
            </w:tcBorders>
            <w:shd w:val="clear" w:color="auto" w:fill="auto"/>
          </w:tcPr>
          <w:p w:rsidR="005A728B" w:rsidRPr="00052600" w:rsidRDefault="005A728B" w:rsidP="00684D6B">
            <w:pPr>
              <w:pStyle w:val="BodyText"/>
              <w:ind w:right="-108" w:firstLine="72"/>
              <w:rPr>
                <w:sz w:val="20"/>
              </w:rPr>
            </w:pPr>
            <w:r w:rsidRPr="00052600">
              <w:rPr>
                <w:sz w:val="20"/>
              </w:rPr>
              <w:t>Profit before tax</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5A728B" w:rsidRPr="00052600" w:rsidRDefault="005A728B" w:rsidP="00896EE7">
            <w:pPr>
              <w:pStyle w:val="BodyText"/>
              <w:ind w:right="-108" w:hanging="108"/>
              <w:jc w:val="center"/>
              <w:rPr>
                <w:sz w:val="20"/>
              </w:rPr>
            </w:pPr>
            <w:r>
              <w:rPr>
                <w:sz w:val="20"/>
              </w:rPr>
              <w:t xml:space="preserve">      19,126</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5A728B" w:rsidRPr="00896EE7" w:rsidRDefault="000074DA" w:rsidP="000074DA">
            <w:pPr>
              <w:pStyle w:val="BodyText"/>
              <w:ind w:left="-108" w:right="-108" w:hanging="108"/>
              <w:jc w:val="center"/>
              <w:rPr>
                <w:sz w:val="20"/>
              </w:rPr>
            </w:pPr>
            <w:r>
              <w:rPr>
                <w:sz w:val="20"/>
              </w:rPr>
              <w:t xml:space="preserve">  </w:t>
            </w:r>
            <w:r w:rsidR="005A728B" w:rsidRPr="00896EE7">
              <w:rPr>
                <w:sz w:val="20"/>
              </w:rPr>
              <w:t>4</w:t>
            </w:r>
            <w:r w:rsidR="005A728B">
              <w:rPr>
                <w:sz w:val="20"/>
              </w:rPr>
              <w:t>7</w:t>
            </w:r>
            <w:r w:rsidR="005A728B" w:rsidRPr="00896EE7">
              <w:rPr>
                <w:sz w:val="20"/>
              </w:rPr>
              <w:t>,</w:t>
            </w:r>
            <w:r w:rsidR="005A728B">
              <w:rPr>
                <w:sz w:val="20"/>
              </w:rPr>
              <w:t>483</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5A728B" w:rsidRPr="00052600" w:rsidRDefault="005A728B" w:rsidP="003263AE">
            <w:pPr>
              <w:pStyle w:val="BodyText"/>
              <w:ind w:right="-108" w:hanging="108"/>
              <w:jc w:val="center"/>
              <w:rPr>
                <w:sz w:val="20"/>
              </w:rPr>
            </w:pPr>
            <w:r>
              <w:rPr>
                <w:sz w:val="20"/>
              </w:rPr>
              <w:t xml:space="preserve">      19,126</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5A728B" w:rsidRPr="00896EE7" w:rsidRDefault="005A728B" w:rsidP="00010D7A">
            <w:pPr>
              <w:pStyle w:val="BodyText"/>
              <w:ind w:left="-108" w:right="-108" w:hanging="108"/>
              <w:jc w:val="center"/>
              <w:rPr>
                <w:sz w:val="20"/>
              </w:rPr>
            </w:pPr>
            <w:r w:rsidRPr="00896EE7">
              <w:rPr>
                <w:sz w:val="20"/>
              </w:rPr>
              <w:t xml:space="preserve">  4</w:t>
            </w:r>
            <w:r>
              <w:rPr>
                <w:sz w:val="20"/>
              </w:rPr>
              <w:t>7</w:t>
            </w:r>
            <w:r w:rsidRPr="00896EE7">
              <w:rPr>
                <w:sz w:val="20"/>
              </w:rPr>
              <w:t>,</w:t>
            </w:r>
            <w:r>
              <w:rPr>
                <w:sz w:val="20"/>
              </w:rPr>
              <w:t>483</w:t>
            </w:r>
          </w:p>
        </w:tc>
      </w:tr>
    </w:tbl>
    <w:p w:rsidR="00B6080A" w:rsidRDefault="00FA5342" w:rsidP="00FA5342">
      <w:pPr>
        <w:pStyle w:val="BodyText"/>
        <w:ind w:right="-450" w:hanging="720"/>
        <w:rPr>
          <w:sz w:val="20"/>
        </w:rPr>
      </w:pPr>
      <w:r>
        <w:rPr>
          <w:sz w:val="20"/>
        </w:rPr>
        <w:tab/>
      </w:r>
    </w:p>
    <w:p w:rsidR="008F2FC6" w:rsidRDefault="008F2FC6" w:rsidP="00FA5342">
      <w:pPr>
        <w:pStyle w:val="BodyText"/>
        <w:ind w:right="-450" w:hanging="720"/>
        <w:rPr>
          <w:sz w:val="20"/>
        </w:rPr>
      </w:pPr>
    </w:p>
    <w:p w:rsidR="000F25C0" w:rsidRDefault="00B6080A" w:rsidP="00FA5342">
      <w:pPr>
        <w:pStyle w:val="BodyText"/>
        <w:ind w:right="-450" w:hanging="720"/>
        <w:rPr>
          <w:b/>
          <w:sz w:val="20"/>
        </w:rPr>
      </w:pPr>
      <w:r>
        <w:rPr>
          <w:sz w:val="20"/>
        </w:rPr>
        <w:tab/>
      </w:r>
      <w:r w:rsidR="0059386B">
        <w:rPr>
          <w:sz w:val="20"/>
        </w:rPr>
        <w:t>A</w:t>
      </w:r>
      <w:r w:rsidR="008D52B1">
        <w:rPr>
          <w:sz w:val="20"/>
        </w:rPr>
        <w:t>10</w:t>
      </w:r>
      <w:r w:rsidR="0059386B">
        <w:rPr>
          <w:sz w:val="20"/>
        </w:rPr>
        <w:tab/>
      </w:r>
      <w:r w:rsidR="0078209D">
        <w:rPr>
          <w:b/>
          <w:sz w:val="20"/>
        </w:rPr>
        <w:t>Subsequent event</w:t>
      </w:r>
    </w:p>
    <w:p w:rsidR="00294687" w:rsidRDefault="0059386B" w:rsidP="00A561BA">
      <w:pPr>
        <w:pStyle w:val="BodyText"/>
        <w:ind w:left="720" w:right="-450" w:hanging="1800"/>
        <w:rPr>
          <w:sz w:val="20"/>
        </w:rPr>
      </w:pPr>
      <w:r>
        <w:rPr>
          <w:sz w:val="20"/>
        </w:rPr>
        <w:tab/>
      </w:r>
    </w:p>
    <w:p w:rsidR="00634A78" w:rsidRPr="00C9517D" w:rsidRDefault="00C9517D" w:rsidP="007E53F8">
      <w:pPr>
        <w:pStyle w:val="BodyText"/>
        <w:ind w:left="720" w:right="-90"/>
        <w:rPr>
          <w:sz w:val="20"/>
        </w:rPr>
      </w:pPr>
      <w:r w:rsidRPr="00C9517D">
        <w:rPr>
          <w:sz w:val="20"/>
        </w:rPr>
        <w:t>There were no material events subsequent to the quarter under review</w:t>
      </w:r>
      <w:r>
        <w:rPr>
          <w:sz w:val="20"/>
        </w:rPr>
        <w:t>.</w:t>
      </w:r>
    </w:p>
    <w:p w:rsidR="00CF1CF3" w:rsidRDefault="00CF1CF3" w:rsidP="002661E6">
      <w:pPr>
        <w:pStyle w:val="BodyText"/>
        <w:ind w:left="720" w:right="-450" w:hanging="1800"/>
      </w:pPr>
    </w:p>
    <w:p w:rsidR="00C51C04" w:rsidRDefault="00C51C04" w:rsidP="002661E6">
      <w:pPr>
        <w:pStyle w:val="BodyText"/>
        <w:ind w:left="720" w:right="-450" w:hanging="1800"/>
      </w:pPr>
    </w:p>
    <w:p w:rsidR="0059386B" w:rsidRDefault="00A1545F" w:rsidP="00A1545F">
      <w:pPr>
        <w:pStyle w:val="BodyText"/>
        <w:ind w:right="-450" w:hanging="1080"/>
        <w:rPr>
          <w:b/>
          <w:sz w:val="20"/>
        </w:rPr>
      </w:pPr>
      <w:r>
        <w:rPr>
          <w:sz w:val="20"/>
        </w:rPr>
        <w:tab/>
      </w:r>
      <w:r w:rsidR="0059386B">
        <w:rPr>
          <w:sz w:val="20"/>
        </w:rPr>
        <w:t>A1</w:t>
      </w:r>
      <w:r w:rsidR="008D52B1">
        <w:rPr>
          <w:sz w:val="20"/>
        </w:rPr>
        <w:t>1</w:t>
      </w:r>
      <w:r w:rsidR="0059386B">
        <w:rPr>
          <w:sz w:val="20"/>
        </w:rPr>
        <w:tab/>
      </w:r>
      <w:r w:rsidR="0059386B" w:rsidRPr="00B06C0C">
        <w:rPr>
          <w:b/>
          <w:sz w:val="20"/>
        </w:rPr>
        <w:t>Changes in composition of the Group</w:t>
      </w:r>
    </w:p>
    <w:p w:rsidR="00B06C0C" w:rsidRDefault="00B06C0C" w:rsidP="00491580">
      <w:pPr>
        <w:pStyle w:val="BodyText"/>
        <w:ind w:left="720" w:right="-450" w:hanging="1800"/>
        <w:rPr>
          <w:b/>
          <w:sz w:val="20"/>
        </w:rPr>
      </w:pPr>
    </w:p>
    <w:p w:rsidR="00C9517D" w:rsidRPr="00B06C0C" w:rsidRDefault="00C9517D" w:rsidP="00C9517D">
      <w:pPr>
        <w:pStyle w:val="BodyText"/>
        <w:ind w:left="720"/>
        <w:rPr>
          <w:sz w:val="20"/>
        </w:rPr>
      </w:pPr>
      <w:r>
        <w:rPr>
          <w:sz w:val="20"/>
        </w:rPr>
        <w:t>There were no changes in the composition of the Group during th</w:t>
      </w:r>
      <w:r w:rsidR="00F01292">
        <w:rPr>
          <w:sz w:val="20"/>
        </w:rPr>
        <w:t>e</w:t>
      </w:r>
      <w:r>
        <w:rPr>
          <w:sz w:val="20"/>
        </w:rPr>
        <w:t xml:space="preserve"> quarter under review.</w:t>
      </w:r>
    </w:p>
    <w:p w:rsidR="00B6080A" w:rsidRDefault="00B6080A" w:rsidP="00730038">
      <w:pPr>
        <w:ind w:left="720" w:right="-180" w:hanging="1800"/>
        <w:jc w:val="both"/>
        <w:rPr>
          <w:snapToGrid w:val="0"/>
        </w:rPr>
      </w:pPr>
    </w:p>
    <w:p w:rsidR="008F2FC6" w:rsidRDefault="008F2FC6" w:rsidP="00730038">
      <w:pPr>
        <w:ind w:left="720" w:right="-180" w:hanging="1800"/>
        <w:jc w:val="both"/>
        <w:rPr>
          <w:snapToGrid w:val="0"/>
        </w:rPr>
      </w:pPr>
    </w:p>
    <w:p w:rsidR="00C9517D" w:rsidRDefault="00C9517D" w:rsidP="00730038">
      <w:pPr>
        <w:ind w:left="720" w:right="-180" w:hanging="1800"/>
        <w:jc w:val="both"/>
        <w:rPr>
          <w:snapToGrid w:val="0"/>
        </w:rPr>
      </w:pPr>
    </w:p>
    <w:p w:rsidR="0059386B" w:rsidRDefault="009B7AF0" w:rsidP="00A1545F">
      <w:pPr>
        <w:pStyle w:val="BodyText"/>
        <w:tabs>
          <w:tab w:val="left" w:pos="720"/>
        </w:tabs>
        <w:ind w:left="720" w:right="-450" w:hanging="720"/>
        <w:rPr>
          <w:b/>
          <w:sz w:val="20"/>
        </w:rPr>
      </w:pPr>
      <w:r>
        <w:rPr>
          <w:sz w:val="20"/>
        </w:rPr>
        <w:t>A</w:t>
      </w:r>
      <w:r w:rsidR="0059386B">
        <w:rPr>
          <w:sz w:val="20"/>
        </w:rPr>
        <w:t>1</w:t>
      </w:r>
      <w:r w:rsidR="008D52B1">
        <w:rPr>
          <w:sz w:val="20"/>
        </w:rPr>
        <w:t>2</w:t>
      </w:r>
      <w:r w:rsidR="0059386B">
        <w:rPr>
          <w:sz w:val="20"/>
        </w:rPr>
        <w:tab/>
      </w:r>
      <w:r w:rsidR="0059386B" w:rsidRPr="00595B37">
        <w:rPr>
          <w:b/>
          <w:color w:val="auto"/>
          <w:sz w:val="20"/>
        </w:rPr>
        <w:t>Commitments</w:t>
      </w:r>
    </w:p>
    <w:p w:rsidR="003F41FF" w:rsidRDefault="003F41FF" w:rsidP="00491580">
      <w:pPr>
        <w:pStyle w:val="BodyText"/>
        <w:tabs>
          <w:tab w:val="left" w:pos="720"/>
        </w:tabs>
        <w:ind w:left="720" w:right="-450" w:hanging="1800"/>
        <w:rPr>
          <w:sz w:val="20"/>
        </w:rPr>
      </w:pPr>
    </w:p>
    <w:p w:rsidR="0059386B" w:rsidRPr="003263AE" w:rsidRDefault="0059386B" w:rsidP="00491580">
      <w:pPr>
        <w:pStyle w:val="BodyText"/>
        <w:tabs>
          <w:tab w:val="left" w:pos="720"/>
        </w:tabs>
        <w:ind w:left="720" w:right="-450" w:hanging="1800"/>
        <w:rPr>
          <w:sz w:val="20"/>
        </w:rPr>
      </w:pPr>
      <w:r>
        <w:rPr>
          <w:sz w:val="20"/>
        </w:rPr>
        <w:tab/>
      </w:r>
      <w:r w:rsidRPr="003263AE">
        <w:rPr>
          <w:sz w:val="20"/>
        </w:rPr>
        <w:t>As at 3</w:t>
      </w:r>
      <w:r w:rsidR="00E00805" w:rsidRPr="003263AE">
        <w:rPr>
          <w:sz w:val="20"/>
        </w:rPr>
        <w:t>1</w:t>
      </w:r>
      <w:r w:rsidRPr="003263AE">
        <w:rPr>
          <w:sz w:val="20"/>
        </w:rPr>
        <w:t xml:space="preserve"> </w:t>
      </w:r>
      <w:r w:rsidR="003263AE" w:rsidRPr="003263AE">
        <w:rPr>
          <w:sz w:val="20"/>
        </w:rPr>
        <w:t>March</w:t>
      </w:r>
      <w:r w:rsidRPr="003263AE">
        <w:rPr>
          <w:sz w:val="20"/>
        </w:rPr>
        <w:t xml:space="preserve"> 20</w:t>
      </w:r>
      <w:r w:rsidR="00B904C3" w:rsidRPr="003263AE">
        <w:rPr>
          <w:sz w:val="20"/>
        </w:rPr>
        <w:t>1</w:t>
      </w:r>
      <w:r w:rsidR="003263AE" w:rsidRPr="003263AE">
        <w:rPr>
          <w:sz w:val="20"/>
        </w:rPr>
        <w:t>1</w:t>
      </w:r>
      <w:r w:rsidR="00C02B76" w:rsidRPr="003263AE">
        <w:rPr>
          <w:sz w:val="20"/>
        </w:rPr>
        <w:t xml:space="preserve"> the commitments were:-</w:t>
      </w:r>
    </w:p>
    <w:tbl>
      <w:tblPr>
        <w:tblW w:w="0" w:type="auto"/>
        <w:tblInd w:w="828" w:type="dxa"/>
        <w:tblLayout w:type="fixed"/>
        <w:tblLook w:val="0000"/>
      </w:tblPr>
      <w:tblGrid>
        <w:gridCol w:w="360"/>
        <w:gridCol w:w="6030"/>
        <w:gridCol w:w="1260"/>
      </w:tblGrid>
      <w:tr w:rsidR="00A1545F" w:rsidRPr="003263AE">
        <w:tc>
          <w:tcPr>
            <w:tcW w:w="360" w:type="dxa"/>
          </w:tcPr>
          <w:p w:rsidR="00A1545F" w:rsidRPr="003263AE" w:rsidRDefault="00A1545F" w:rsidP="00A1545F">
            <w:pPr>
              <w:pStyle w:val="BodyText"/>
              <w:tabs>
                <w:tab w:val="left" w:pos="720"/>
              </w:tabs>
              <w:ind w:right="-108" w:hanging="108"/>
              <w:rPr>
                <w:sz w:val="20"/>
              </w:rPr>
            </w:pPr>
          </w:p>
        </w:tc>
        <w:tc>
          <w:tcPr>
            <w:tcW w:w="6030" w:type="dxa"/>
          </w:tcPr>
          <w:p w:rsidR="00A1545F" w:rsidRPr="003263AE" w:rsidRDefault="00A1545F" w:rsidP="00A1545F">
            <w:pPr>
              <w:pStyle w:val="BodyText"/>
              <w:tabs>
                <w:tab w:val="left" w:pos="720"/>
              </w:tabs>
              <w:ind w:right="-108" w:hanging="108"/>
              <w:rPr>
                <w:sz w:val="20"/>
              </w:rPr>
            </w:pPr>
          </w:p>
        </w:tc>
        <w:tc>
          <w:tcPr>
            <w:tcW w:w="1260" w:type="dxa"/>
          </w:tcPr>
          <w:p w:rsidR="00A1545F" w:rsidRPr="003263AE" w:rsidRDefault="00A1545F" w:rsidP="00A1545F">
            <w:pPr>
              <w:pStyle w:val="BodyText"/>
              <w:tabs>
                <w:tab w:val="left" w:pos="720"/>
              </w:tabs>
              <w:ind w:right="-108" w:hanging="108"/>
              <w:jc w:val="center"/>
              <w:rPr>
                <w:b/>
                <w:sz w:val="20"/>
              </w:rPr>
            </w:pPr>
            <w:r w:rsidRPr="003263AE">
              <w:rPr>
                <w:b/>
                <w:sz w:val="20"/>
              </w:rPr>
              <w:t>RM’000</w:t>
            </w:r>
          </w:p>
        </w:tc>
      </w:tr>
      <w:tr w:rsidR="00A1545F" w:rsidRPr="003263AE">
        <w:tc>
          <w:tcPr>
            <w:tcW w:w="360" w:type="dxa"/>
          </w:tcPr>
          <w:p w:rsidR="00A1545F" w:rsidRPr="003263AE" w:rsidRDefault="00C02B76" w:rsidP="00A1545F">
            <w:pPr>
              <w:pStyle w:val="BodyText"/>
              <w:tabs>
                <w:tab w:val="left" w:pos="720"/>
              </w:tabs>
              <w:ind w:right="-108" w:hanging="108"/>
              <w:rPr>
                <w:sz w:val="20"/>
              </w:rPr>
            </w:pPr>
            <w:r w:rsidRPr="003263AE">
              <w:rPr>
                <w:sz w:val="20"/>
              </w:rPr>
              <w:t>a)</w:t>
            </w:r>
          </w:p>
        </w:tc>
        <w:tc>
          <w:tcPr>
            <w:tcW w:w="6030" w:type="dxa"/>
          </w:tcPr>
          <w:p w:rsidR="00A1545F" w:rsidRPr="003263AE" w:rsidRDefault="00A1545F" w:rsidP="00A1545F">
            <w:pPr>
              <w:pStyle w:val="BodyText"/>
              <w:tabs>
                <w:tab w:val="left" w:pos="720"/>
              </w:tabs>
              <w:ind w:right="-108" w:hanging="108"/>
              <w:rPr>
                <w:sz w:val="20"/>
              </w:rPr>
            </w:pPr>
            <w:r w:rsidRPr="003263AE">
              <w:rPr>
                <w:sz w:val="20"/>
              </w:rPr>
              <w:t>Capital commitments</w:t>
            </w:r>
          </w:p>
        </w:tc>
        <w:tc>
          <w:tcPr>
            <w:tcW w:w="1260" w:type="dxa"/>
          </w:tcPr>
          <w:p w:rsidR="00A1545F" w:rsidRPr="003263AE" w:rsidRDefault="00A1545F" w:rsidP="00A1545F">
            <w:pPr>
              <w:pStyle w:val="BodyText"/>
              <w:tabs>
                <w:tab w:val="left" w:pos="720"/>
              </w:tabs>
              <w:ind w:right="-108" w:hanging="108"/>
              <w:jc w:val="right"/>
              <w:rPr>
                <w:sz w:val="20"/>
              </w:rPr>
            </w:pPr>
          </w:p>
        </w:tc>
      </w:tr>
      <w:tr w:rsidR="00A1545F" w:rsidRPr="003263AE" w:rsidTr="007A6B89">
        <w:tc>
          <w:tcPr>
            <w:tcW w:w="360" w:type="dxa"/>
          </w:tcPr>
          <w:p w:rsidR="00A1545F" w:rsidRPr="003263AE" w:rsidRDefault="00A1545F" w:rsidP="00A1545F">
            <w:pPr>
              <w:pStyle w:val="BodyText"/>
              <w:tabs>
                <w:tab w:val="left" w:pos="720"/>
              </w:tabs>
              <w:ind w:right="-108" w:hanging="108"/>
              <w:rPr>
                <w:sz w:val="20"/>
              </w:rPr>
            </w:pPr>
          </w:p>
        </w:tc>
        <w:tc>
          <w:tcPr>
            <w:tcW w:w="6030" w:type="dxa"/>
          </w:tcPr>
          <w:p w:rsidR="00A1545F" w:rsidRPr="003263AE" w:rsidRDefault="00A1545F" w:rsidP="00A1545F">
            <w:pPr>
              <w:pStyle w:val="BodyText"/>
              <w:tabs>
                <w:tab w:val="left" w:pos="720"/>
              </w:tabs>
              <w:ind w:right="-108" w:hanging="108"/>
              <w:rPr>
                <w:sz w:val="20"/>
              </w:rPr>
            </w:pPr>
            <w:proofErr w:type="spellStart"/>
            <w:r w:rsidRPr="003263AE">
              <w:rPr>
                <w:sz w:val="20"/>
              </w:rPr>
              <w:t>Authorised</w:t>
            </w:r>
            <w:proofErr w:type="spellEnd"/>
            <w:r w:rsidRPr="003263AE">
              <w:rPr>
                <w:sz w:val="20"/>
              </w:rPr>
              <w:t xml:space="preserve"> and contracted for:</w:t>
            </w:r>
          </w:p>
          <w:p w:rsidR="00A1545F" w:rsidRPr="003263AE" w:rsidRDefault="00A1545F" w:rsidP="00AC530C">
            <w:pPr>
              <w:pStyle w:val="BodyText"/>
              <w:numPr>
                <w:ilvl w:val="0"/>
                <w:numId w:val="3"/>
              </w:numPr>
              <w:tabs>
                <w:tab w:val="left" w:pos="720"/>
              </w:tabs>
              <w:ind w:right="-108" w:hanging="513"/>
              <w:rPr>
                <w:sz w:val="20"/>
              </w:rPr>
            </w:pPr>
            <w:r w:rsidRPr="003263AE">
              <w:rPr>
                <w:sz w:val="20"/>
              </w:rPr>
              <w:t>Purchase of property, plant and equipment</w:t>
            </w:r>
          </w:p>
          <w:p w:rsidR="00A1545F" w:rsidRPr="003263AE" w:rsidRDefault="00A1545F" w:rsidP="00AC530C">
            <w:pPr>
              <w:pStyle w:val="BodyText"/>
              <w:numPr>
                <w:ilvl w:val="0"/>
                <w:numId w:val="3"/>
              </w:numPr>
              <w:tabs>
                <w:tab w:val="left" w:pos="720"/>
              </w:tabs>
              <w:ind w:right="-108" w:hanging="513"/>
              <w:rPr>
                <w:sz w:val="20"/>
              </w:rPr>
            </w:pPr>
            <w:r w:rsidRPr="003263AE">
              <w:rPr>
                <w:sz w:val="20"/>
              </w:rPr>
              <w:t>Purchase of investment in unquoted shares</w:t>
            </w:r>
          </w:p>
        </w:tc>
        <w:tc>
          <w:tcPr>
            <w:tcW w:w="1260" w:type="dxa"/>
            <w:tcBorders>
              <w:bottom w:val="single" w:sz="4" w:space="0" w:color="auto"/>
            </w:tcBorders>
          </w:tcPr>
          <w:p w:rsidR="00A1545F" w:rsidRPr="003263AE" w:rsidRDefault="00A1545F" w:rsidP="00A1545F">
            <w:pPr>
              <w:pStyle w:val="BodyText"/>
              <w:tabs>
                <w:tab w:val="left" w:pos="720"/>
              </w:tabs>
              <w:ind w:right="-108" w:hanging="108"/>
              <w:jc w:val="center"/>
              <w:rPr>
                <w:sz w:val="20"/>
              </w:rPr>
            </w:pPr>
          </w:p>
          <w:p w:rsidR="00A1545F" w:rsidRPr="003263AE" w:rsidRDefault="007F6301" w:rsidP="00A1545F">
            <w:pPr>
              <w:pStyle w:val="BodyText"/>
              <w:tabs>
                <w:tab w:val="left" w:pos="720"/>
              </w:tabs>
              <w:ind w:right="-108" w:hanging="108"/>
              <w:jc w:val="center"/>
              <w:rPr>
                <w:sz w:val="20"/>
              </w:rPr>
            </w:pPr>
            <w:r w:rsidRPr="003263AE">
              <w:rPr>
                <w:sz w:val="20"/>
              </w:rPr>
              <w:t xml:space="preserve"> </w:t>
            </w:r>
            <w:r w:rsidR="00E00805" w:rsidRPr="003263AE">
              <w:rPr>
                <w:sz w:val="20"/>
              </w:rPr>
              <w:t>10</w:t>
            </w:r>
            <w:r w:rsidR="003263AE" w:rsidRPr="003263AE">
              <w:rPr>
                <w:sz w:val="20"/>
              </w:rPr>
              <w:t>4</w:t>
            </w:r>
            <w:r w:rsidRPr="003263AE">
              <w:rPr>
                <w:sz w:val="20"/>
              </w:rPr>
              <w:t>,</w:t>
            </w:r>
            <w:r w:rsidR="003263AE" w:rsidRPr="003263AE">
              <w:rPr>
                <w:sz w:val="20"/>
              </w:rPr>
              <w:t>333</w:t>
            </w:r>
          </w:p>
          <w:p w:rsidR="00A1545F" w:rsidRPr="003263AE" w:rsidRDefault="00A1545F" w:rsidP="00E00805">
            <w:pPr>
              <w:pStyle w:val="BodyText"/>
              <w:tabs>
                <w:tab w:val="left" w:pos="720"/>
              </w:tabs>
              <w:ind w:right="-108" w:hanging="108"/>
              <w:jc w:val="center"/>
              <w:rPr>
                <w:sz w:val="20"/>
              </w:rPr>
            </w:pPr>
            <w:r w:rsidRPr="003263AE">
              <w:rPr>
                <w:sz w:val="20"/>
              </w:rPr>
              <w:t xml:space="preserve"> </w:t>
            </w:r>
            <w:r w:rsidR="00E00805" w:rsidRPr="003263AE">
              <w:rPr>
                <w:sz w:val="20"/>
              </w:rPr>
              <w:t xml:space="preserve"> </w:t>
            </w:r>
            <w:r w:rsidRPr="003263AE">
              <w:rPr>
                <w:sz w:val="20"/>
              </w:rPr>
              <w:t xml:space="preserve"> </w:t>
            </w:r>
            <w:r w:rsidR="000F455C" w:rsidRPr="003263AE">
              <w:rPr>
                <w:sz w:val="20"/>
              </w:rPr>
              <w:t>2</w:t>
            </w:r>
            <w:r w:rsidR="00E00805" w:rsidRPr="003263AE">
              <w:rPr>
                <w:sz w:val="20"/>
              </w:rPr>
              <w:t>3</w:t>
            </w:r>
            <w:r w:rsidRPr="003263AE">
              <w:rPr>
                <w:sz w:val="20"/>
              </w:rPr>
              <w:t>,</w:t>
            </w:r>
            <w:r w:rsidR="003263AE" w:rsidRPr="003263AE">
              <w:rPr>
                <w:sz w:val="20"/>
              </w:rPr>
              <w:t>415</w:t>
            </w:r>
          </w:p>
        </w:tc>
      </w:tr>
      <w:tr w:rsidR="00A1545F" w:rsidRPr="003263AE" w:rsidTr="007A6B89">
        <w:tc>
          <w:tcPr>
            <w:tcW w:w="360" w:type="dxa"/>
          </w:tcPr>
          <w:p w:rsidR="00A1545F" w:rsidRPr="003263AE" w:rsidRDefault="00A1545F" w:rsidP="00A1545F">
            <w:pPr>
              <w:pStyle w:val="BodyText"/>
              <w:tabs>
                <w:tab w:val="left" w:pos="720"/>
              </w:tabs>
              <w:ind w:right="-108" w:hanging="108"/>
              <w:rPr>
                <w:sz w:val="20"/>
              </w:rPr>
            </w:pPr>
          </w:p>
        </w:tc>
        <w:tc>
          <w:tcPr>
            <w:tcW w:w="6030" w:type="dxa"/>
          </w:tcPr>
          <w:p w:rsidR="00A1545F" w:rsidRPr="003263AE" w:rsidRDefault="00A1545F" w:rsidP="00A1545F">
            <w:pPr>
              <w:pStyle w:val="BodyText"/>
              <w:tabs>
                <w:tab w:val="left" w:pos="720"/>
              </w:tabs>
              <w:ind w:right="-108" w:hanging="108"/>
              <w:rPr>
                <w:sz w:val="20"/>
              </w:rPr>
            </w:pPr>
          </w:p>
        </w:tc>
        <w:tc>
          <w:tcPr>
            <w:tcW w:w="1260" w:type="dxa"/>
            <w:tcBorders>
              <w:top w:val="single" w:sz="4" w:space="0" w:color="auto"/>
              <w:bottom w:val="single" w:sz="12" w:space="0" w:color="auto"/>
            </w:tcBorders>
          </w:tcPr>
          <w:p w:rsidR="00A1545F" w:rsidRPr="003263AE" w:rsidRDefault="007A6B89" w:rsidP="00A1545F">
            <w:pPr>
              <w:pStyle w:val="BodyText"/>
              <w:tabs>
                <w:tab w:val="left" w:pos="720"/>
              </w:tabs>
              <w:ind w:right="-108" w:hanging="108"/>
              <w:rPr>
                <w:sz w:val="20"/>
              </w:rPr>
            </w:pPr>
            <w:r>
              <w:rPr>
                <w:sz w:val="20"/>
              </w:rPr>
              <w:t xml:space="preserve">      127,748</w:t>
            </w:r>
          </w:p>
        </w:tc>
      </w:tr>
      <w:tr w:rsidR="00A1545F" w:rsidRPr="003263AE" w:rsidTr="007A6B89">
        <w:tc>
          <w:tcPr>
            <w:tcW w:w="360" w:type="dxa"/>
          </w:tcPr>
          <w:p w:rsidR="00A1545F" w:rsidRPr="003263AE" w:rsidRDefault="00A1545F" w:rsidP="00A1545F">
            <w:pPr>
              <w:pStyle w:val="BodyText"/>
              <w:tabs>
                <w:tab w:val="left" w:pos="720"/>
              </w:tabs>
              <w:ind w:right="-108" w:hanging="108"/>
              <w:rPr>
                <w:sz w:val="20"/>
              </w:rPr>
            </w:pPr>
          </w:p>
        </w:tc>
        <w:tc>
          <w:tcPr>
            <w:tcW w:w="6030" w:type="dxa"/>
          </w:tcPr>
          <w:p w:rsidR="00A1545F" w:rsidRPr="003263AE" w:rsidRDefault="00A1545F" w:rsidP="00A1545F">
            <w:pPr>
              <w:pStyle w:val="BodyText"/>
              <w:tabs>
                <w:tab w:val="left" w:pos="720"/>
              </w:tabs>
              <w:ind w:right="-108" w:hanging="108"/>
              <w:rPr>
                <w:sz w:val="20"/>
              </w:rPr>
            </w:pPr>
            <w:proofErr w:type="spellStart"/>
            <w:r w:rsidRPr="003263AE">
              <w:rPr>
                <w:sz w:val="20"/>
              </w:rPr>
              <w:t>Authorised</w:t>
            </w:r>
            <w:proofErr w:type="spellEnd"/>
            <w:r w:rsidRPr="003263AE">
              <w:rPr>
                <w:sz w:val="20"/>
              </w:rPr>
              <w:t xml:space="preserve"> but not contracted for:</w:t>
            </w:r>
          </w:p>
          <w:p w:rsidR="00A1545F" w:rsidRPr="003263AE" w:rsidRDefault="00A1545F" w:rsidP="00AC530C">
            <w:pPr>
              <w:pStyle w:val="BodyText"/>
              <w:numPr>
                <w:ilvl w:val="0"/>
                <w:numId w:val="3"/>
              </w:numPr>
              <w:tabs>
                <w:tab w:val="left" w:pos="720"/>
              </w:tabs>
              <w:ind w:right="-108" w:hanging="513"/>
              <w:rPr>
                <w:sz w:val="20"/>
              </w:rPr>
            </w:pPr>
            <w:r w:rsidRPr="003263AE">
              <w:rPr>
                <w:sz w:val="20"/>
              </w:rPr>
              <w:t>Purchase of property, plant and equipment</w:t>
            </w:r>
          </w:p>
        </w:tc>
        <w:tc>
          <w:tcPr>
            <w:tcW w:w="1260" w:type="dxa"/>
            <w:tcBorders>
              <w:top w:val="single" w:sz="12" w:space="0" w:color="auto"/>
              <w:bottom w:val="single" w:sz="12" w:space="0" w:color="000000"/>
            </w:tcBorders>
          </w:tcPr>
          <w:p w:rsidR="00A1545F" w:rsidRPr="003263AE" w:rsidRDefault="00A1545F" w:rsidP="00A1545F">
            <w:pPr>
              <w:pStyle w:val="BodyText"/>
              <w:tabs>
                <w:tab w:val="left" w:pos="720"/>
              </w:tabs>
              <w:ind w:right="-108" w:hanging="108"/>
              <w:rPr>
                <w:sz w:val="20"/>
              </w:rPr>
            </w:pPr>
          </w:p>
          <w:p w:rsidR="00A1545F" w:rsidRPr="003263AE" w:rsidRDefault="00A1545F" w:rsidP="00E00805">
            <w:pPr>
              <w:pStyle w:val="BodyText"/>
              <w:tabs>
                <w:tab w:val="left" w:pos="720"/>
                <w:tab w:val="left" w:pos="902"/>
              </w:tabs>
              <w:ind w:right="-108" w:hanging="108"/>
              <w:rPr>
                <w:sz w:val="20"/>
              </w:rPr>
            </w:pPr>
            <w:r w:rsidRPr="003263AE">
              <w:rPr>
                <w:sz w:val="20"/>
              </w:rPr>
              <w:t xml:space="preserve">          </w:t>
            </w:r>
            <w:r w:rsidR="003263AE" w:rsidRPr="003263AE">
              <w:rPr>
                <w:sz w:val="20"/>
              </w:rPr>
              <w:t>9,412</w:t>
            </w:r>
          </w:p>
        </w:tc>
      </w:tr>
      <w:tr w:rsidR="00A1545F" w:rsidRPr="003263AE">
        <w:tc>
          <w:tcPr>
            <w:tcW w:w="360" w:type="dxa"/>
          </w:tcPr>
          <w:p w:rsidR="00A1545F" w:rsidRPr="003263AE" w:rsidRDefault="00A1545F" w:rsidP="00A1545F">
            <w:pPr>
              <w:pStyle w:val="BodyText"/>
              <w:tabs>
                <w:tab w:val="left" w:pos="720"/>
              </w:tabs>
              <w:ind w:right="-108" w:hanging="108"/>
              <w:rPr>
                <w:sz w:val="20"/>
              </w:rPr>
            </w:pPr>
          </w:p>
        </w:tc>
        <w:tc>
          <w:tcPr>
            <w:tcW w:w="6030" w:type="dxa"/>
          </w:tcPr>
          <w:p w:rsidR="00A1545F" w:rsidRPr="003263AE" w:rsidRDefault="00A1545F" w:rsidP="00A1545F">
            <w:pPr>
              <w:pStyle w:val="BodyText"/>
              <w:tabs>
                <w:tab w:val="left" w:pos="720"/>
              </w:tabs>
              <w:ind w:right="-108" w:hanging="108"/>
              <w:rPr>
                <w:sz w:val="20"/>
              </w:rPr>
            </w:pPr>
          </w:p>
        </w:tc>
        <w:tc>
          <w:tcPr>
            <w:tcW w:w="1260" w:type="dxa"/>
            <w:tcBorders>
              <w:top w:val="single" w:sz="12" w:space="0" w:color="000000"/>
            </w:tcBorders>
          </w:tcPr>
          <w:p w:rsidR="00A1545F" w:rsidRPr="003263AE" w:rsidRDefault="00A1545F" w:rsidP="00A1545F">
            <w:pPr>
              <w:pStyle w:val="BodyText"/>
              <w:tabs>
                <w:tab w:val="left" w:pos="720"/>
              </w:tabs>
              <w:ind w:right="-108" w:hanging="108"/>
              <w:rPr>
                <w:sz w:val="20"/>
              </w:rPr>
            </w:pPr>
          </w:p>
        </w:tc>
      </w:tr>
      <w:tr w:rsidR="00A1545F" w:rsidRPr="003263AE">
        <w:tc>
          <w:tcPr>
            <w:tcW w:w="360" w:type="dxa"/>
          </w:tcPr>
          <w:p w:rsidR="00A1545F" w:rsidRPr="003263AE" w:rsidRDefault="00A1545F" w:rsidP="00A1545F">
            <w:pPr>
              <w:pStyle w:val="BodyText"/>
              <w:tabs>
                <w:tab w:val="left" w:pos="720"/>
              </w:tabs>
              <w:ind w:right="-108" w:hanging="108"/>
              <w:rPr>
                <w:sz w:val="20"/>
              </w:rPr>
            </w:pPr>
            <w:r w:rsidRPr="003263AE">
              <w:rPr>
                <w:sz w:val="20"/>
              </w:rPr>
              <w:t>b)</w:t>
            </w:r>
          </w:p>
        </w:tc>
        <w:tc>
          <w:tcPr>
            <w:tcW w:w="6030" w:type="dxa"/>
          </w:tcPr>
          <w:p w:rsidR="00A1545F" w:rsidRPr="003263AE" w:rsidRDefault="00A1545F" w:rsidP="00A1545F">
            <w:pPr>
              <w:pStyle w:val="BodyText"/>
              <w:tabs>
                <w:tab w:val="left" w:pos="720"/>
              </w:tabs>
              <w:ind w:right="-108" w:hanging="108"/>
              <w:rPr>
                <w:sz w:val="20"/>
              </w:rPr>
            </w:pPr>
            <w:r w:rsidRPr="003263AE">
              <w:rPr>
                <w:sz w:val="20"/>
              </w:rPr>
              <w:t>Operating expenditure:</w:t>
            </w:r>
          </w:p>
        </w:tc>
        <w:tc>
          <w:tcPr>
            <w:tcW w:w="1260" w:type="dxa"/>
          </w:tcPr>
          <w:p w:rsidR="00A1545F" w:rsidRPr="003263AE" w:rsidRDefault="00A1545F" w:rsidP="00A1545F">
            <w:pPr>
              <w:pStyle w:val="BodyText"/>
              <w:tabs>
                <w:tab w:val="left" w:pos="720"/>
              </w:tabs>
              <w:ind w:right="-108" w:hanging="108"/>
              <w:rPr>
                <w:sz w:val="20"/>
              </w:rPr>
            </w:pPr>
          </w:p>
        </w:tc>
      </w:tr>
      <w:tr w:rsidR="00A1545F" w:rsidRPr="003263AE">
        <w:tc>
          <w:tcPr>
            <w:tcW w:w="360" w:type="dxa"/>
          </w:tcPr>
          <w:p w:rsidR="00A1545F" w:rsidRPr="003263AE" w:rsidRDefault="00A1545F" w:rsidP="00A1545F">
            <w:pPr>
              <w:pStyle w:val="BodyText"/>
              <w:tabs>
                <w:tab w:val="left" w:pos="720"/>
              </w:tabs>
              <w:ind w:right="-108" w:hanging="108"/>
              <w:rPr>
                <w:sz w:val="20"/>
              </w:rPr>
            </w:pPr>
          </w:p>
        </w:tc>
        <w:tc>
          <w:tcPr>
            <w:tcW w:w="6030" w:type="dxa"/>
          </w:tcPr>
          <w:p w:rsidR="00A1545F" w:rsidRPr="003263AE" w:rsidRDefault="00A1545F" w:rsidP="00A1545F">
            <w:pPr>
              <w:pStyle w:val="BodyText"/>
              <w:tabs>
                <w:tab w:val="left" w:pos="720"/>
              </w:tabs>
              <w:ind w:right="-108" w:hanging="108"/>
              <w:rPr>
                <w:sz w:val="20"/>
              </w:rPr>
            </w:pPr>
            <w:r w:rsidRPr="003263AE">
              <w:rPr>
                <w:sz w:val="20"/>
              </w:rPr>
              <w:t>Not later than one year</w:t>
            </w:r>
          </w:p>
        </w:tc>
        <w:tc>
          <w:tcPr>
            <w:tcW w:w="1260" w:type="dxa"/>
          </w:tcPr>
          <w:p w:rsidR="00A1545F" w:rsidRPr="003263AE" w:rsidRDefault="00460CD7" w:rsidP="00494B41">
            <w:pPr>
              <w:pStyle w:val="BodyText"/>
              <w:tabs>
                <w:tab w:val="left" w:pos="720"/>
              </w:tabs>
              <w:ind w:right="-108" w:hanging="108"/>
              <w:jc w:val="center"/>
              <w:rPr>
                <w:sz w:val="20"/>
              </w:rPr>
            </w:pPr>
            <w:r w:rsidRPr="003263AE">
              <w:rPr>
                <w:sz w:val="20"/>
              </w:rPr>
              <w:t xml:space="preserve"> </w:t>
            </w:r>
            <w:r w:rsidR="009F4233" w:rsidRPr="003263AE">
              <w:rPr>
                <w:sz w:val="20"/>
              </w:rPr>
              <w:t xml:space="preserve"> </w:t>
            </w:r>
            <w:r w:rsidR="00494B41">
              <w:rPr>
                <w:sz w:val="20"/>
              </w:rPr>
              <w:t>31,626</w:t>
            </w:r>
          </w:p>
        </w:tc>
      </w:tr>
      <w:tr w:rsidR="00A1545F" w:rsidRPr="003263AE">
        <w:tc>
          <w:tcPr>
            <w:tcW w:w="360" w:type="dxa"/>
          </w:tcPr>
          <w:p w:rsidR="00A1545F" w:rsidRPr="003263AE" w:rsidRDefault="00A1545F" w:rsidP="00A1545F">
            <w:pPr>
              <w:pStyle w:val="BodyText"/>
              <w:tabs>
                <w:tab w:val="left" w:pos="720"/>
              </w:tabs>
              <w:ind w:right="-108" w:hanging="108"/>
              <w:rPr>
                <w:sz w:val="20"/>
              </w:rPr>
            </w:pPr>
          </w:p>
        </w:tc>
        <w:tc>
          <w:tcPr>
            <w:tcW w:w="6030" w:type="dxa"/>
          </w:tcPr>
          <w:p w:rsidR="00A1545F" w:rsidRPr="003263AE" w:rsidRDefault="00A1545F" w:rsidP="00A1545F">
            <w:pPr>
              <w:pStyle w:val="BodyText"/>
              <w:tabs>
                <w:tab w:val="left" w:pos="720"/>
              </w:tabs>
              <w:ind w:right="-108" w:hanging="108"/>
              <w:rPr>
                <w:sz w:val="20"/>
              </w:rPr>
            </w:pPr>
            <w:r w:rsidRPr="003263AE">
              <w:rPr>
                <w:sz w:val="20"/>
              </w:rPr>
              <w:t>Later than one year and not later than two years</w:t>
            </w:r>
          </w:p>
        </w:tc>
        <w:tc>
          <w:tcPr>
            <w:tcW w:w="1260" w:type="dxa"/>
          </w:tcPr>
          <w:p w:rsidR="00A1545F" w:rsidRPr="003263AE" w:rsidRDefault="00A1545F" w:rsidP="00494B41">
            <w:pPr>
              <w:pStyle w:val="BodyText"/>
              <w:tabs>
                <w:tab w:val="left" w:pos="720"/>
              </w:tabs>
              <w:ind w:right="-108" w:hanging="108"/>
              <w:jc w:val="center"/>
              <w:rPr>
                <w:sz w:val="20"/>
              </w:rPr>
            </w:pPr>
            <w:r w:rsidRPr="003263AE">
              <w:rPr>
                <w:sz w:val="20"/>
              </w:rPr>
              <w:t xml:space="preserve"> </w:t>
            </w:r>
            <w:r w:rsidR="009F4233" w:rsidRPr="003263AE">
              <w:rPr>
                <w:sz w:val="20"/>
              </w:rPr>
              <w:t xml:space="preserve"> </w:t>
            </w:r>
            <w:r w:rsidR="00494B41">
              <w:rPr>
                <w:sz w:val="20"/>
              </w:rPr>
              <w:t>14,600</w:t>
            </w:r>
          </w:p>
        </w:tc>
      </w:tr>
      <w:tr w:rsidR="00A1545F" w:rsidRPr="003263AE">
        <w:tc>
          <w:tcPr>
            <w:tcW w:w="360" w:type="dxa"/>
          </w:tcPr>
          <w:p w:rsidR="00A1545F" w:rsidRPr="003263AE" w:rsidRDefault="00A1545F" w:rsidP="00A1545F">
            <w:pPr>
              <w:pStyle w:val="BodyText"/>
              <w:tabs>
                <w:tab w:val="left" w:pos="720"/>
              </w:tabs>
              <w:ind w:right="-108" w:hanging="108"/>
              <w:rPr>
                <w:sz w:val="20"/>
              </w:rPr>
            </w:pPr>
          </w:p>
        </w:tc>
        <w:tc>
          <w:tcPr>
            <w:tcW w:w="6030" w:type="dxa"/>
          </w:tcPr>
          <w:p w:rsidR="00A1545F" w:rsidRPr="003263AE" w:rsidRDefault="00A1545F" w:rsidP="00A1545F">
            <w:pPr>
              <w:pStyle w:val="BodyText"/>
              <w:tabs>
                <w:tab w:val="left" w:pos="720"/>
              </w:tabs>
              <w:ind w:right="-108" w:hanging="108"/>
              <w:rPr>
                <w:sz w:val="20"/>
              </w:rPr>
            </w:pPr>
            <w:r w:rsidRPr="003263AE">
              <w:rPr>
                <w:sz w:val="20"/>
              </w:rPr>
              <w:t>Later than two years and not later than five years</w:t>
            </w:r>
          </w:p>
        </w:tc>
        <w:tc>
          <w:tcPr>
            <w:tcW w:w="1260" w:type="dxa"/>
          </w:tcPr>
          <w:p w:rsidR="00A1545F" w:rsidRPr="003263AE" w:rsidRDefault="00BD300B" w:rsidP="00494B41">
            <w:pPr>
              <w:pStyle w:val="BodyText"/>
              <w:tabs>
                <w:tab w:val="left" w:pos="720"/>
              </w:tabs>
              <w:ind w:right="-108" w:hanging="108"/>
              <w:jc w:val="center"/>
              <w:rPr>
                <w:sz w:val="20"/>
              </w:rPr>
            </w:pPr>
            <w:r w:rsidRPr="003263AE">
              <w:rPr>
                <w:sz w:val="20"/>
              </w:rPr>
              <w:t xml:space="preserve"> </w:t>
            </w:r>
            <w:r w:rsidR="00A1545F" w:rsidRPr="003263AE">
              <w:rPr>
                <w:sz w:val="20"/>
              </w:rPr>
              <w:t xml:space="preserve"> </w:t>
            </w:r>
            <w:r w:rsidR="00494B41">
              <w:rPr>
                <w:sz w:val="20"/>
              </w:rPr>
              <w:t>17,313</w:t>
            </w:r>
          </w:p>
        </w:tc>
      </w:tr>
      <w:tr w:rsidR="00A1545F" w:rsidTr="001244C6">
        <w:tc>
          <w:tcPr>
            <w:tcW w:w="360" w:type="dxa"/>
          </w:tcPr>
          <w:p w:rsidR="00A1545F" w:rsidRPr="003263AE" w:rsidRDefault="00A1545F" w:rsidP="00A1545F">
            <w:pPr>
              <w:pStyle w:val="BodyText"/>
              <w:tabs>
                <w:tab w:val="left" w:pos="720"/>
              </w:tabs>
              <w:ind w:right="-108" w:hanging="108"/>
              <w:rPr>
                <w:sz w:val="20"/>
              </w:rPr>
            </w:pPr>
          </w:p>
        </w:tc>
        <w:tc>
          <w:tcPr>
            <w:tcW w:w="6030" w:type="dxa"/>
          </w:tcPr>
          <w:p w:rsidR="00A1545F" w:rsidRPr="003263AE" w:rsidRDefault="00A1545F" w:rsidP="00A1545F">
            <w:pPr>
              <w:pStyle w:val="BodyText"/>
              <w:tabs>
                <w:tab w:val="left" w:pos="720"/>
              </w:tabs>
              <w:ind w:right="-108" w:hanging="108"/>
              <w:rPr>
                <w:sz w:val="20"/>
              </w:rPr>
            </w:pPr>
            <w:r w:rsidRPr="003263AE">
              <w:rPr>
                <w:sz w:val="20"/>
              </w:rPr>
              <w:t>Later than 5 years</w:t>
            </w:r>
          </w:p>
        </w:tc>
        <w:tc>
          <w:tcPr>
            <w:tcW w:w="1260" w:type="dxa"/>
            <w:tcBorders>
              <w:bottom w:val="single" w:sz="8" w:space="0" w:color="000000"/>
            </w:tcBorders>
          </w:tcPr>
          <w:p w:rsidR="00A1545F" w:rsidRPr="00B37054" w:rsidRDefault="00FE307C" w:rsidP="001C1B8D">
            <w:pPr>
              <w:pStyle w:val="BodyText"/>
              <w:tabs>
                <w:tab w:val="left" w:pos="720"/>
              </w:tabs>
              <w:ind w:right="-108" w:hanging="108"/>
              <w:jc w:val="center"/>
              <w:rPr>
                <w:sz w:val="20"/>
              </w:rPr>
            </w:pPr>
            <w:r w:rsidRPr="003263AE">
              <w:rPr>
                <w:sz w:val="20"/>
              </w:rPr>
              <w:t xml:space="preserve"> </w:t>
            </w:r>
            <w:r w:rsidR="00A1545F" w:rsidRPr="003263AE">
              <w:rPr>
                <w:sz w:val="20"/>
              </w:rPr>
              <w:t xml:space="preserve"> </w:t>
            </w:r>
            <w:r w:rsidR="001C1B8D" w:rsidRPr="003263AE">
              <w:rPr>
                <w:sz w:val="20"/>
              </w:rPr>
              <w:t>18</w:t>
            </w:r>
            <w:r w:rsidR="002D1006" w:rsidRPr="003263AE">
              <w:rPr>
                <w:sz w:val="20"/>
              </w:rPr>
              <w:t>,</w:t>
            </w:r>
            <w:r w:rsidR="003263AE" w:rsidRPr="003263AE">
              <w:rPr>
                <w:sz w:val="20"/>
              </w:rPr>
              <w:t>358</w:t>
            </w:r>
          </w:p>
        </w:tc>
      </w:tr>
      <w:tr w:rsidR="001244C6" w:rsidTr="001244C6">
        <w:tc>
          <w:tcPr>
            <w:tcW w:w="360" w:type="dxa"/>
          </w:tcPr>
          <w:p w:rsidR="001244C6" w:rsidRPr="003263AE" w:rsidRDefault="001244C6" w:rsidP="00A1545F">
            <w:pPr>
              <w:pStyle w:val="BodyText"/>
              <w:tabs>
                <w:tab w:val="left" w:pos="720"/>
              </w:tabs>
              <w:ind w:right="-108" w:hanging="108"/>
              <w:rPr>
                <w:sz w:val="20"/>
              </w:rPr>
            </w:pPr>
          </w:p>
        </w:tc>
        <w:tc>
          <w:tcPr>
            <w:tcW w:w="6030" w:type="dxa"/>
          </w:tcPr>
          <w:p w:rsidR="001244C6" w:rsidRPr="003263AE" w:rsidRDefault="001244C6" w:rsidP="00A1545F">
            <w:pPr>
              <w:pStyle w:val="BodyText"/>
              <w:tabs>
                <w:tab w:val="left" w:pos="720"/>
              </w:tabs>
              <w:ind w:right="-108" w:hanging="108"/>
              <w:rPr>
                <w:sz w:val="20"/>
              </w:rPr>
            </w:pPr>
          </w:p>
        </w:tc>
        <w:tc>
          <w:tcPr>
            <w:tcW w:w="1260" w:type="dxa"/>
            <w:tcBorders>
              <w:top w:val="single" w:sz="8" w:space="0" w:color="000000"/>
              <w:bottom w:val="single" w:sz="12" w:space="0" w:color="000000"/>
            </w:tcBorders>
          </w:tcPr>
          <w:p w:rsidR="001244C6" w:rsidRPr="003263AE" w:rsidRDefault="001244C6" w:rsidP="00494B41">
            <w:pPr>
              <w:pStyle w:val="BodyText"/>
              <w:tabs>
                <w:tab w:val="left" w:pos="720"/>
              </w:tabs>
              <w:ind w:right="-108" w:hanging="108"/>
              <w:jc w:val="center"/>
              <w:rPr>
                <w:sz w:val="20"/>
              </w:rPr>
            </w:pPr>
            <w:r>
              <w:rPr>
                <w:sz w:val="20"/>
              </w:rPr>
              <w:t xml:space="preserve">  </w:t>
            </w:r>
            <w:r w:rsidR="00494B41">
              <w:rPr>
                <w:sz w:val="20"/>
              </w:rPr>
              <w:t>8</w:t>
            </w:r>
            <w:r>
              <w:rPr>
                <w:sz w:val="20"/>
              </w:rPr>
              <w:t>1,</w:t>
            </w:r>
            <w:r w:rsidR="00494B41">
              <w:rPr>
                <w:sz w:val="20"/>
              </w:rPr>
              <w:t>89</w:t>
            </w:r>
            <w:r>
              <w:rPr>
                <w:sz w:val="20"/>
              </w:rPr>
              <w:t>7</w:t>
            </w:r>
          </w:p>
        </w:tc>
      </w:tr>
    </w:tbl>
    <w:p w:rsidR="00CA6573" w:rsidRDefault="00CA6573" w:rsidP="00491580">
      <w:pPr>
        <w:pStyle w:val="BodyText"/>
        <w:tabs>
          <w:tab w:val="left" w:pos="720"/>
        </w:tabs>
        <w:ind w:left="720" w:right="-450" w:hanging="1800"/>
        <w:rPr>
          <w:sz w:val="20"/>
        </w:rPr>
      </w:pPr>
    </w:p>
    <w:p w:rsidR="001244C6" w:rsidRDefault="001244C6" w:rsidP="00491580">
      <w:pPr>
        <w:pStyle w:val="BodyText"/>
        <w:tabs>
          <w:tab w:val="left" w:pos="720"/>
        </w:tabs>
        <w:ind w:left="720" w:right="-450" w:hanging="1800"/>
        <w:rPr>
          <w:sz w:val="20"/>
        </w:rPr>
      </w:pPr>
    </w:p>
    <w:p w:rsidR="001244C6" w:rsidRDefault="001244C6" w:rsidP="00491580">
      <w:pPr>
        <w:pStyle w:val="BodyText"/>
        <w:tabs>
          <w:tab w:val="left" w:pos="720"/>
        </w:tabs>
        <w:ind w:left="720" w:right="-450" w:hanging="1800"/>
        <w:rPr>
          <w:sz w:val="20"/>
        </w:rPr>
      </w:pPr>
    </w:p>
    <w:p w:rsidR="0059386B" w:rsidRDefault="004E2D91" w:rsidP="00A1545F">
      <w:pPr>
        <w:pStyle w:val="BodyText"/>
        <w:tabs>
          <w:tab w:val="left" w:pos="720"/>
        </w:tabs>
        <w:ind w:left="720" w:right="-450" w:hanging="720"/>
        <w:rPr>
          <w:b/>
          <w:sz w:val="20"/>
        </w:rPr>
      </w:pPr>
      <w:r>
        <w:rPr>
          <w:sz w:val="20"/>
        </w:rPr>
        <w:t>A</w:t>
      </w:r>
      <w:r w:rsidR="0059386B">
        <w:rPr>
          <w:sz w:val="20"/>
        </w:rPr>
        <w:t>1</w:t>
      </w:r>
      <w:r w:rsidR="008D52B1">
        <w:rPr>
          <w:sz w:val="20"/>
        </w:rPr>
        <w:t>3</w:t>
      </w:r>
      <w:r w:rsidR="0059386B">
        <w:rPr>
          <w:sz w:val="20"/>
        </w:rPr>
        <w:tab/>
      </w:r>
      <w:r w:rsidR="0059386B">
        <w:rPr>
          <w:b/>
          <w:sz w:val="20"/>
        </w:rPr>
        <w:t>Contingent liabilities</w:t>
      </w:r>
      <w:r w:rsidR="00F95C49">
        <w:rPr>
          <w:b/>
          <w:sz w:val="20"/>
        </w:rPr>
        <w:t xml:space="preserve"> </w:t>
      </w:r>
    </w:p>
    <w:p w:rsidR="0059386B" w:rsidRDefault="0059386B" w:rsidP="00491580">
      <w:pPr>
        <w:pStyle w:val="BodyText"/>
        <w:tabs>
          <w:tab w:val="left" w:pos="720"/>
        </w:tabs>
        <w:ind w:left="720" w:right="-450" w:hanging="1800"/>
        <w:rPr>
          <w:sz w:val="20"/>
        </w:rPr>
      </w:pPr>
      <w:r>
        <w:rPr>
          <w:sz w:val="20"/>
        </w:rPr>
        <w:tab/>
      </w:r>
    </w:p>
    <w:p w:rsidR="0059386B" w:rsidRPr="00E00805" w:rsidRDefault="003F41FF" w:rsidP="00491580">
      <w:pPr>
        <w:pStyle w:val="BodyText"/>
        <w:tabs>
          <w:tab w:val="left" w:pos="720"/>
        </w:tabs>
        <w:ind w:left="720" w:right="-450" w:hanging="1800"/>
        <w:rPr>
          <w:sz w:val="20"/>
        </w:rPr>
      </w:pPr>
      <w:r>
        <w:rPr>
          <w:sz w:val="20"/>
        </w:rPr>
        <w:tab/>
      </w:r>
      <w:r w:rsidRPr="00E00805">
        <w:rPr>
          <w:sz w:val="20"/>
        </w:rPr>
        <w:t xml:space="preserve">The </w:t>
      </w:r>
      <w:r w:rsidR="009B465D" w:rsidRPr="00E00805">
        <w:rPr>
          <w:sz w:val="20"/>
        </w:rPr>
        <w:t>contingent liabilities as at 3</w:t>
      </w:r>
      <w:r w:rsidR="00212EE0">
        <w:rPr>
          <w:sz w:val="20"/>
        </w:rPr>
        <w:t>1 March 2011</w:t>
      </w:r>
      <w:r w:rsidRPr="00E00805">
        <w:rPr>
          <w:sz w:val="20"/>
        </w:rPr>
        <w:t xml:space="preserve"> were:-</w:t>
      </w:r>
    </w:p>
    <w:tbl>
      <w:tblPr>
        <w:tblW w:w="0" w:type="auto"/>
        <w:tblInd w:w="828" w:type="dxa"/>
        <w:tblLayout w:type="fixed"/>
        <w:tblLook w:val="0000"/>
      </w:tblPr>
      <w:tblGrid>
        <w:gridCol w:w="360"/>
        <w:gridCol w:w="6030"/>
        <w:gridCol w:w="1260"/>
      </w:tblGrid>
      <w:tr w:rsidR="00A1545F" w:rsidRPr="00E00805">
        <w:tc>
          <w:tcPr>
            <w:tcW w:w="360" w:type="dxa"/>
          </w:tcPr>
          <w:p w:rsidR="00A1545F" w:rsidRPr="00E00805" w:rsidRDefault="00A1545F" w:rsidP="00491580">
            <w:pPr>
              <w:pStyle w:val="BodyText"/>
              <w:tabs>
                <w:tab w:val="left" w:pos="720"/>
              </w:tabs>
              <w:ind w:left="-108" w:right="-450" w:hanging="1800"/>
              <w:rPr>
                <w:sz w:val="20"/>
              </w:rPr>
            </w:pPr>
          </w:p>
        </w:tc>
        <w:tc>
          <w:tcPr>
            <w:tcW w:w="6030" w:type="dxa"/>
          </w:tcPr>
          <w:p w:rsidR="00A1545F" w:rsidRPr="00E00805" w:rsidRDefault="00A1545F" w:rsidP="00491580">
            <w:pPr>
              <w:pStyle w:val="BodyText"/>
              <w:tabs>
                <w:tab w:val="left" w:pos="720"/>
              </w:tabs>
              <w:ind w:left="-108" w:right="-450" w:hanging="1800"/>
              <w:rPr>
                <w:sz w:val="20"/>
              </w:rPr>
            </w:pPr>
          </w:p>
        </w:tc>
        <w:tc>
          <w:tcPr>
            <w:tcW w:w="1260" w:type="dxa"/>
          </w:tcPr>
          <w:p w:rsidR="00A1545F" w:rsidRPr="00E00805" w:rsidRDefault="00A1545F" w:rsidP="00A1545F">
            <w:pPr>
              <w:pStyle w:val="BodyText"/>
              <w:tabs>
                <w:tab w:val="left" w:pos="720"/>
              </w:tabs>
              <w:ind w:left="-108" w:hanging="108"/>
              <w:jc w:val="center"/>
              <w:rPr>
                <w:sz w:val="20"/>
              </w:rPr>
            </w:pPr>
            <w:r w:rsidRPr="00E00805">
              <w:rPr>
                <w:b/>
                <w:sz w:val="20"/>
              </w:rPr>
              <w:t xml:space="preserve">       RM’000</w:t>
            </w:r>
          </w:p>
        </w:tc>
      </w:tr>
      <w:tr w:rsidR="00A1545F" w:rsidRPr="00E00805">
        <w:tc>
          <w:tcPr>
            <w:tcW w:w="360" w:type="dxa"/>
          </w:tcPr>
          <w:p w:rsidR="00A1545F" w:rsidRPr="00E00805" w:rsidRDefault="00A1545F" w:rsidP="00A1545F">
            <w:pPr>
              <w:pStyle w:val="BodyText"/>
              <w:tabs>
                <w:tab w:val="left" w:pos="720"/>
              </w:tabs>
              <w:ind w:left="-108" w:right="-450"/>
              <w:rPr>
                <w:sz w:val="20"/>
              </w:rPr>
            </w:pPr>
            <w:r w:rsidRPr="00E00805">
              <w:rPr>
                <w:sz w:val="20"/>
              </w:rPr>
              <w:t xml:space="preserve">  a)</w:t>
            </w:r>
          </w:p>
        </w:tc>
        <w:tc>
          <w:tcPr>
            <w:tcW w:w="6030" w:type="dxa"/>
          </w:tcPr>
          <w:p w:rsidR="00A1545F" w:rsidRPr="00E00805" w:rsidRDefault="00A1545F" w:rsidP="00A1545F">
            <w:pPr>
              <w:pStyle w:val="BodyText"/>
              <w:tabs>
                <w:tab w:val="left" w:pos="720"/>
              </w:tabs>
              <w:ind w:left="-108" w:right="-450"/>
              <w:rPr>
                <w:sz w:val="20"/>
              </w:rPr>
            </w:pPr>
            <w:r w:rsidRPr="00E00805">
              <w:rPr>
                <w:sz w:val="20"/>
              </w:rPr>
              <w:t xml:space="preserve">  Guarantees extended in support of banking and other credit facilities</w:t>
            </w:r>
          </w:p>
          <w:p w:rsidR="00A1545F" w:rsidRPr="00E00805" w:rsidRDefault="00A1545F" w:rsidP="00A1545F">
            <w:pPr>
              <w:pStyle w:val="BodyText"/>
              <w:tabs>
                <w:tab w:val="left" w:pos="720"/>
              </w:tabs>
              <w:ind w:left="-108" w:right="-450"/>
              <w:rPr>
                <w:sz w:val="20"/>
              </w:rPr>
            </w:pPr>
            <w:r w:rsidRPr="00E00805">
              <w:rPr>
                <w:sz w:val="20"/>
              </w:rPr>
              <w:t xml:space="preserve">  granted to:-</w:t>
            </w:r>
          </w:p>
        </w:tc>
        <w:tc>
          <w:tcPr>
            <w:tcW w:w="1260" w:type="dxa"/>
          </w:tcPr>
          <w:p w:rsidR="00A1545F" w:rsidRPr="00E00805" w:rsidRDefault="00A1545F" w:rsidP="00A1545F">
            <w:pPr>
              <w:pStyle w:val="BodyText"/>
              <w:tabs>
                <w:tab w:val="left" w:pos="720"/>
              </w:tabs>
              <w:ind w:right="-108" w:hanging="108"/>
              <w:rPr>
                <w:sz w:val="20"/>
              </w:rPr>
            </w:pPr>
          </w:p>
        </w:tc>
      </w:tr>
      <w:tr w:rsidR="00A1545F" w:rsidRPr="00E00805">
        <w:tc>
          <w:tcPr>
            <w:tcW w:w="360" w:type="dxa"/>
          </w:tcPr>
          <w:p w:rsidR="00A1545F" w:rsidRPr="00E00805" w:rsidRDefault="00A1545F" w:rsidP="00A1545F">
            <w:pPr>
              <w:pStyle w:val="BodyText"/>
              <w:tabs>
                <w:tab w:val="left" w:pos="720"/>
              </w:tabs>
              <w:ind w:right="-450"/>
              <w:rPr>
                <w:sz w:val="20"/>
              </w:rPr>
            </w:pPr>
          </w:p>
        </w:tc>
        <w:tc>
          <w:tcPr>
            <w:tcW w:w="6030" w:type="dxa"/>
          </w:tcPr>
          <w:p w:rsidR="00A1545F" w:rsidRPr="00E00805" w:rsidRDefault="00A1545F" w:rsidP="00A1545F">
            <w:pPr>
              <w:pStyle w:val="BodyText"/>
              <w:tabs>
                <w:tab w:val="left" w:pos="720"/>
              </w:tabs>
              <w:ind w:right="-450"/>
              <w:rPr>
                <w:sz w:val="20"/>
              </w:rPr>
            </w:pPr>
            <w:r w:rsidRPr="00E00805">
              <w:rPr>
                <w:sz w:val="20"/>
              </w:rPr>
              <w:t xml:space="preserve">       Associate</w:t>
            </w:r>
            <w:r w:rsidR="00BD785B">
              <w:rPr>
                <w:sz w:val="20"/>
              </w:rPr>
              <w:t xml:space="preserve"> - Secured</w:t>
            </w:r>
          </w:p>
        </w:tc>
        <w:tc>
          <w:tcPr>
            <w:tcW w:w="1260" w:type="dxa"/>
          </w:tcPr>
          <w:p w:rsidR="00A1545F" w:rsidRPr="00C9517D" w:rsidRDefault="00BD785B" w:rsidP="00A1545F">
            <w:pPr>
              <w:pStyle w:val="BodyText"/>
              <w:tabs>
                <w:tab w:val="left" w:pos="720"/>
              </w:tabs>
              <w:ind w:right="-108" w:hanging="108"/>
              <w:jc w:val="center"/>
              <w:rPr>
                <w:sz w:val="20"/>
              </w:rPr>
            </w:pPr>
            <w:r w:rsidRPr="00C9517D">
              <w:rPr>
                <w:sz w:val="20"/>
              </w:rPr>
              <w:t xml:space="preserve">   2,889</w:t>
            </w:r>
          </w:p>
        </w:tc>
      </w:tr>
      <w:tr w:rsidR="00A1545F" w:rsidRPr="00E00805">
        <w:tc>
          <w:tcPr>
            <w:tcW w:w="360" w:type="dxa"/>
          </w:tcPr>
          <w:p w:rsidR="00A1545F" w:rsidRPr="00E00805" w:rsidRDefault="00A1545F" w:rsidP="00A1545F">
            <w:pPr>
              <w:pStyle w:val="BodyText"/>
              <w:tabs>
                <w:tab w:val="left" w:pos="720"/>
              </w:tabs>
              <w:ind w:right="-450"/>
              <w:rPr>
                <w:sz w:val="20"/>
              </w:rPr>
            </w:pPr>
          </w:p>
        </w:tc>
        <w:tc>
          <w:tcPr>
            <w:tcW w:w="6030" w:type="dxa"/>
          </w:tcPr>
          <w:p w:rsidR="00A1545F" w:rsidRPr="00E00805" w:rsidRDefault="00A1545F" w:rsidP="00A1545F">
            <w:pPr>
              <w:pStyle w:val="BodyText"/>
              <w:tabs>
                <w:tab w:val="left" w:pos="720"/>
              </w:tabs>
              <w:ind w:right="-450"/>
              <w:rPr>
                <w:sz w:val="20"/>
              </w:rPr>
            </w:pPr>
          </w:p>
        </w:tc>
        <w:tc>
          <w:tcPr>
            <w:tcW w:w="1260" w:type="dxa"/>
          </w:tcPr>
          <w:p w:rsidR="00A1545F" w:rsidRPr="00C9517D" w:rsidRDefault="00A1545F" w:rsidP="00A1545F">
            <w:pPr>
              <w:pStyle w:val="BodyText"/>
              <w:tabs>
                <w:tab w:val="left" w:pos="720"/>
              </w:tabs>
              <w:ind w:left="-108" w:right="-108"/>
              <w:jc w:val="center"/>
              <w:rPr>
                <w:sz w:val="20"/>
              </w:rPr>
            </w:pPr>
          </w:p>
        </w:tc>
      </w:tr>
      <w:tr w:rsidR="00A1545F" w:rsidRPr="00E00805">
        <w:tc>
          <w:tcPr>
            <w:tcW w:w="360" w:type="dxa"/>
          </w:tcPr>
          <w:p w:rsidR="00A1545F" w:rsidRPr="00E00805" w:rsidRDefault="00A1545F" w:rsidP="00A1545F">
            <w:pPr>
              <w:pStyle w:val="BodyText"/>
              <w:tabs>
                <w:tab w:val="left" w:pos="720"/>
              </w:tabs>
              <w:ind w:right="-450"/>
              <w:rPr>
                <w:sz w:val="20"/>
              </w:rPr>
            </w:pPr>
            <w:r w:rsidRPr="00E00805">
              <w:rPr>
                <w:sz w:val="20"/>
              </w:rPr>
              <w:t>b)</w:t>
            </w:r>
          </w:p>
        </w:tc>
        <w:tc>
          <w:tcPr>
            <w:tcW w:w="6030" w:type="dxa"/>
          </w:tcPr>
          <w:p w:rsidR="00A1545F" w:rsidRPr="00E00805" w:rsidRDefault="00A1545F" w:rsidP="00A1545F">
            <w:pPr>
              <w:pStyle w:val="BodyText"/>
              <w:tabs>
                <w:tab w:val="left" w:pos="720"/>
              </w:tabs>
              <w:ind w:right="-450"/>
              <w:rPr>
                <w:sz w:val="20"/>
              </w:rPr>
            </w:pPr>
            <w:r w:rsidRPr="00E00805">
              <w:rPr>
                <w:sz w:val="20"/>
              </w:rPr>
              <w:t>Others – unsecured</w:t>
            </w:r>
          </w:p>
        </w:tc>
        <w:tc>
          <w:tcPr>
            <w:tcW w:w="1260" w:type="dxa"/>
          </w:tcPr>
          <w:p w:rsidR="00A1545F" w:rsidRPr="00C9517D" w:rsidRDefault="009048C7" w:rsidP="00C9517D">
            <w:pPr>
              <w:pStyle w:val="BodyText"/>
              <w:tabs>
                <w:tab w:val="left" w:pos="720"/>
              </w:tabs>
              <w:ind w:left="-108" w:right="-108"/>
              <w:jc w:val="center"/>
              <w:rPr>
                <w:sz w:val="20"/>
              </w:rPr>
            </w:pPr>
            <w:r w:rsidRPr="00C9517D">
              <w:rPr>
                <w:sz w:val="20"/>
              </w:rPr>
              <w:t xml:space="preserve"> </w:t>
            </w:r>
            <w:r w:rsidR="00F95C49" w:rsidRPr="00C9517D">
              <w:rPr>
                <w:sz w:val="20"/>
              </w:rPr>
              <w:t xml:space="preserve">  2,</w:t>
            </w:r>
            <w:r w:rsidR="00D370EA" w:rsidRPr="00C9517D">
              <w:rPr>
                <w:sz w:val="20"/>
              </w:rPr>
              <w:t>8</w:t>
            </w:r>
            <w:r w:rsidR="00212EE0" w:rsidRPr="00C9517D">
              <w:rPr>
                <w:sz w:val="20"/>
              </w:rPr>
              <w:t>29</w:t>
            </w:r>
          </w:p>
        </w:tc>
      </w:tr>
      <w:tr w:rsidR="00A1545F">
        <w:tc>
          <w:tcPr>
            <w:tcW w:w="360" w:type="dxa"/>
          </w:tcPr>
          <w:p w:rsidR="00A1545F" w:rsidRPr="00E00805" w:rsidRDefault="00A1545F" w:rsidP="00A1545F">
            <w:pPr>
              <w:pStyle w:val="BodyText"/>
              <w:tabs>
                <w:tab w:val="left" w:pos="720"/>
              </w:tabs>
              <w:ind w:right="-450"/>
              <w:rPr>
                <w:sz w:val="20"/>
              </w:rPr>
            </w:pPr>
          </w:p>
        </w:tc>
        <w:tc>
          <w:tcPr>
            <w:tcW w:w="6030" w:type="dxa"/>
          </w:tcPr>
          <w:p w:rsidR="00A1545F" w:rsidRPr="00E00805" w:rsidRDefault="00A1545F" w:rsidP="00A1545F">
            <w:pPr>
              <w:pStyle w:val="BodyText"/>
              <w:tabs>
                <w:tab w:val="left" w:pos="720"/>
              </w:tabs>
              <w:ind w:right="-450"/>
              <w:rPr>
                <w:sz w:val="20"/>
              </w:rPr>
            </w:pPr>
          </w:p>
        </w:tc>
        <w:tc>
          <w:tcPr>
            <w:tcW w:w="1260" w:type="dxa"/>
            <w:tcBorders>
              <w:top w:val="single" w:sz="8" w:space="0" w:color="000000"/>
              <w:bottom w:val="single" w:sz="18" w:space="0" w:color="000000"/>
            </w:tcBorders>
          </w:tcPr>
          <w:p w:rsidR="00A1545F" w:rsidRPr="00C9517D" w:rsidRDefault="00F95C49" w:rsidP="00C9517D">
            <w:pPr>
              <w:pStyle w:val="BodyText"/>
              <w:tabs>
                <w:tab w:val="left" w:pos="720"/>
              </w:tabs>
              <w:ind w:left="-108" w:right="-108"/>
              <w:rPr>
                <w:sz w:val="20"/>
              </w:rPr>
            </w:pPr>
            <w:r w:rsidRPr="00C9517D">
              <w:rPr>
                <w:sz w:val="20"/>
              </w:rPr>
              <w:t xml:space="preserve"> </w:t>
            </w:r>
            <w:r w:rsidR="006F4DCA" w:rsidRPr="00C9517D">
              <w:rPr>
                <w:sz w:val="20"/>
              </w:rPr>
              <w:t xml:space="preserve">   </w:t>
            </w:r>
            <w:r w:rsidR="00A1545F" w:rsidRPr="00C9517D">
              <w:rPr>
                <w:sz w:val="20"/>
              </w:rPr>
              <w:t xml:space="preserve">  </w:t>
            </w:r>
            <w:r w:rsidR="009048C7" w:rsidRPr="00C9517D">
              <w:rPr>
                <w:sz w:val="20"/>
              </w:rPr>
              <w:t xml:space="preserve"> </w:t>
            </w:r>
            <w:r w:rsidR="00A1545F" w:rsidRPr="00C9517D">
              <w:rPr>
                <w:sz w:val="20"/>
              </w:rPr>
              <w:t xml:space="preserve">  </w:t>
            </w:r>
            <w:r w:rsidR="00212EE0" w:rsidRPr="00C9517D">
              <w:rPr>
                <w:sz w:val="20"/>
              </w:rPr>
              <w:t>5,718</w:t>
            </w:r>
          </w:p>
        </w:tc>
      </w:tr>
    </w:tbl>
    <w:p w:rsidR="00261975" w:rsidRDefault="00261975" w:rsidP="00A1545F">
      <w:pPr>
        <w:pStyle w:val="BodyText"/>
        <w:tabs>
          <w:tab w:val="left" w:pos="0"/>
        </w:tabs>
        <w:rPr>
          <w:b/>
          <w:sz w:val="20"/>
        </w:rPr>
      </w:pPr>
    </w:p>
    <w:p w:rsidR="00C367EF" w:rsidRDefault="00C367EF" w:rsidP="00A1545F">
      <w:pPr>
        <w:pStyle w:val="BodyText"/>
        <w:tabs>
          <w:tab w:val="left" w:pos="0"/>
        </w:tabs>
        <w:rPr>
          <w:b/>
          <w:sz w:val="20"/>
        </w:rPr>
      </w:pPr>
    </w:p>
    <w:p w:rsidR="00327C81" w:rsidRDefault="00327C81" w:rsidP="00A1545F">
      <w:pPr>
        <w:pStyle w:val="BodyText"/>
        <w:tabs>
          <w:tab w:val="left" w:pos="0"/>
        </w:tabs>
        <w:rPr>
          <w:b/>
          <w:sz w:val="20"/>
        </w:rPr>
      </w:pPr>
    </w:p>
    <w:p w:rsidR="00327C81" w:rsidRDefault="00327C81"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B46406" w:rsidRDefault="00B46406" w:rsidP="00A1545F">
      <w:pPr>
        <w:pStyle w:val="BodyText"/>
        <w:tabs>
          <w:tab w:val="left" w:pos="0"/>
        </w:tabs>
        <w:rPr>
          <w:b/>
          <w:sz w:val="20"/>
        </w:rPr>
      </w:pPr>
    </w:p>
    <w:p w:rsidR="00B46406" w:rsidRDefault="00B46406"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8F2FC6" w:rsidRDefault="008F2FC6" w:rsidP="00A1545F">
      <w:pPr>
        <w:pStyle w:val="BodyText"/>
        <w:tabs>
          <w:tab w:val="left" w:pos="0"/>
        </w:tabs>
        <w:rPr>
          <w:b/>
          <w:sz w:val="20"/>
        </w:rPr>
      </w:pPr>
    </w:p>
    <w:p w:rsidR="0059386B" w:rsidRDefault="007A2640" w:rsidP="00A1545F">
      <w:pPr>
        <w:pStyle w:val="BodyText"/>
        <w:tabs>
          <w:tab w:val="left" w:pos="0"/>
        </w:tabs>
        <w:rPr>
          <w:b/>
          <w:sz w:val="20"/>
        </w:rPr>
      </w:pPr>
      <w:r>
        <w:rPr>
          <w:b/>
          <w:sz w:val="20"/>
        </w:rPr>
        <w:t xml:space="preserve">PART B - </w:t>
      </w:r>
      <w:r w:rsidR="0059386B">
        <w:rPr>
          <w:b/>
          <w:sz w:val="20"/>
        </w:rPr>
        <w:t xml:space="preserve">EXPLANATORY NOTES PURSUANT TO APPENDIX 9B OF THE </w:t>
      </w:r>
      <w:r w:rsidR="001206AD">
        <w:rPr>
          <w:b/>
          <w:sz w:val="20"/>
        </w:rPr>
        <w:t xml:space="preserve">MAIN MARKET </w:t>
      </w:r>
      <w:r w:rsidR="0059386B">
        <w:rPr>
          <w:b/>
          <w:sz w:val="20"/>
        </w:rPr>
        <w:t>LISTING REQUIREMENTS OF BURSA MALAYSIA SECURITIES BERHAD</w:t>
      </w:r>
    </w:p>
    <w:p w:rsidR="0059386B" w:rsidRDefault="0059386B" w:rsidP="00491580">
      <w:pPr>
        <w:pStyle w:val="BodyText"/>
        <w:tabs>
          <w:tab w:val="left" w:pos="0"/>
        </w:tabs>
        <w:ind w:right="-450" w:hanging="1800"/>
        <w:rPr>
          <w:b/>
          <w:sz w:val="20"/>
        </w:rPr>
      </w:pPr>
    </w:p>
    <w:p w:rsidR="0059386B" w:rsidRPr="00613F4E" w:rsidRDefault="0059386B" w:rsidP="00A1545F">
      <w:pPr>
        <w:pStyle w:val="BodyText"/>
        <w:tabs>
          <w:tab w:val="left" w:pos="0"/>
        </w:tabs>
        <w:ind w:left="720" w:right="-450" w:hanging="720"/>
        <w:rPr>
          <w:b/>
          <w:sz w:val="20"/>
        </w:rPr>
      </w:pPr>
      <w:r>
        <w:rPr>
          <w:sz w:val="20"/>
        </w:rPr>
        <w:t>B1</w:t>
      </w:r>
      <w:r>
        <w:rPr>
          <w:sz w:val="20"/>
        </w:rPr>
        <w:tab/>
      </w:r>
      <w:r>
        <w:rPr>
          <w:b/>
          <w:sz w:val="20"/>
        </w:rPr>
        <w:t xml:space="preserve">Review of </w:t>
      </w:r>
      <w:r w:rsidRPr="00613F4E">
        <w:rPr>
          <w:b/>
          <w:sz w:val="20"/>
        </w:rPr>
        <w:t>performance</w:t>
      </w:r>
    </w:p>
    <w:p w:rsidR="007A2640" w:rsidRPr="00613F4E" w:rsidRDefault="007A2640" w:rsidP="00491580">
      <w:pPr>
        <w:pStyle w:val="BodyText"/>
        <w:tabs>
          <w:tab w:val="left" w:pos="0"/>
        </w:tabs>
        <w:ind w:left="720" w:right="-450" w:hanging="1800"/>
        <w:rPr>
          <w:sz w:val="20"/>
        </w:rPr>
      </w:pPr>
    </w:p>
    <w:p w:rsidR="00B16996" w:rsidRPr="0047785C" w:rsidRDefault="00A1545F" w:rsidP="00B16996">
      <w:pPr>
        <w:pStyle w:val="BodyText"/>
        <w:tabs>
          <w:tab w:val="left" w:pos="0"/>
        </w:tabs>
        <w:ind w:left="720" w:right="-90" w:hanging="1800"/>
        <w:rPr>
          <w:sz w:val="20"/>
        </w:rPr>
      </w:pPr>
      <w:r w:rsidRPr="00613F4E">
        <w:rPr>
          <w:sz w:val="20"/>
        </w:rPr>
        <w:tab/>
      </w:r>
      <w:r w:rsidRPr="00613F4E">
        <w:rPr>
          <w:sz w:val="20"/>
        </w:rPr>
        <w:tab/>
      </w:r>
      <w:r w:rsidR="00B16996" w:rsidRPr="0047785C">
        <w:rPr>
          <w:sz w:val="20"/>
        </w:rPr>
        <w:t xml:space="preserve">For the current quarter, the Group recorded revenue of RM550.91 million, an increase of RM94.29 million or 20.65% compared to last year’s corresponding quarter of RM456.62 million. The increased revenue was contributed </w:t>
      </w:r>
      <w:r w:rsidR="00AD1A80">
        <w:rPr>
          <w:sz w:val="20"/>
        </w:rPr>
        <w:t xml:space="preserve">principally </w:t>
      </w:r>
      <w:r w:rsidR="00B16996" w:rsidRPr="0047785C">
        <w:rPr>
          <w:sz w:val="20"/>
        </w:rPr>
        <w:t xml:space="preserve">by its PNG operations (RM83.58 million) from </w:t>
      </w:r>
      <w:r w:rsidR="00AD1A80">
        <w:rPr>
          <w:sz w:val="20"/>
        </w:rPr>
        <w:t xml:space="preserve">its </w:t>
      </w:r>
      <w:r w:rsidR="00B46406">
        <w:rPr>
          <w:sz w:val="20"/>
        </w:rPr>
        <w:t>Agriculture, Automotive</w:t>
      </w:r>
      <w:r w:rsidR="00B16996" w:rsidRPr="0047785C">
        <w:rPr>
          <w:sz w:val="20"/>
        </w:rPr>
        <w:t xml:space="preserve"> and Trading divisions</w:t>
      </w:r>
      <w:r w:rsidR="00AD1A80">
        <w:rPr>
          <w:sz w:val="20"/>
        </w:rPr>
        <w:t>.  The Group’s other increases in revenue were from its</w:t>
      </w:r>
      <w:r w:rsidR="00B16996" w:rsidRPr="0047785C">
        <w:rPr>
          <w:sz w:val="20"/>
        </w:rPr>
        <w:t xml:space="preserve"> Shipping business (RM25.86 million) and its local Printing business (RM6.50 million), </w:t>
      </w:r>
      <w:r w:rsidR="00AD1A80">
        <w:rPr>
          <w:sz w:val="20"/>
        </w:rPr>
        <w:t xml:space="preserve">and these were </w:t>
      </w:r>
      <w:r w:rsidR="00B16996" w:rsidRPr="0047785C">
        <w:rPr>
          <w:sz w:val="20"/>
        </w:rPr>
        <w:t>negated by the adverse performance from Fiji in all divisions</w:t>
      </w:r>
      <w:r w:rsidR="0030647D" w:rsidRPr="0030647D">
        <w:rPr>
          <w:sz w:val="20"/>
        </w:rPr>
        <w:t xml:space="preserve"> </w:t>
      </w:r>
      <w:r w:rsidR="0030647D">
        <w:rPr>
          <w:sz w:val="20"/>
        </w:rPr>
        <w:t xml:space="preserve">by </w:t>
      </w:r>
      <w:r w:rsidR="0030647D" w:rsidRPr="0047785C">
        <w:rPr>
          <w:sz w:val="20"/>
        </w:rPr>
        <w:t>RM17.40 million</w:t>
      </w:r>
      <w:r w:rsidR="00B16996" w:rsidRPr="0047785C">
        <w:rPr>
          <w:sz w:val="20"/>
        </w:rPr>
        <w:t xml:space="preserve">. </w:t>
      </w:r>
    </w:p>
    <w:p w:rsidR="00B16996" w:rsidRPr="0047785C" w:rsidRDefault="00B16996" w:rsidP="00B16996">
      <w:pPr>
        <w:pStyle w:val="BodyText"/>
        <w:tabs>
          <w:tab w:val="left" w:pos="0"/>
        </w:tabs>
        <w:ind w:left="720" w:right="-90"/>
        <w:rPr>
          <w:sz w:val="20"/>
        </w:rPr>
      </w:pPr>
    </w:p>
    <w:p w:rsidR="00B16996" w:rsidRPr="0047785C" w:rsidRDefault="00B16996" w:rsidP="00B16996">
      <w:pPr>
        <w:pStyle w:val="BodyText"/>
        <w:tabs>
          <w:tab w:val="left" w:pos="0"/>
        </w:tabs>
        <w:ind w:left="720" w:right="-90"/>
        <w:rPr>
          <w:sz w:val="20"/>
        </w:rPr>
      </w:pPr>
      <w:r w:rsidRPr="0047785C">
        <w:rPr>
          <w:sz w:val="20"/>
        </w:rPr>
        <w:t>The Group’s profit before tax was RM19.13 million for the current quarter compared to the previous year’s corresponding quarter of RM4</w:t>
      </w:r>
      <w:r w:rsidR="00010D7A">
        <w:rPr>
          <w:sz w:val="20"/>
        </w:rPr>
        <w:t>7.48</w:t>
      </w:r>
      <w:r w:rsidRPr="0047785C">
        <w:rPr>
          <w:sz w:val="20"/>
        </w:rPr>
        <w:t xml:space="preserve"> million, a reduction of RM2</w:t>
      </w:r>
      <w:r w:rsidR="00010D7A">
        <w:rPr>
          <w:sz w:val="20"/>
        </w:rPr>
        <w:t>8.35</w:t>
      </w:r>
      <w:r w:rsidRPr="0047785C">
        <w:rPr>
          <w:sz w:val="20"/>
        </w:rPr>
        <w:t xml:space="preserve"> million or 59.</w:t>
      </w:r>
      <w:r w:rsidR="00010D7A">
        <w:rPr>
          <w:sz w:val="20"/>
        </w:rPr>
        <w:t>71</w:t>
      </w:r>
      <w:r w:rsidRPr="0047785C">
        <w:rPr>
          <w:sz w:val="20"/>
        </w:rPr>
        <w:t xml:space="preserve">%. Excluding </w:t>
      </w:r>
      <w:r w:rsidR="00010D7A" w:rsidRPr="0047785C">
        <w:rPr>
          <w:sz w:val="20"/>
        </w:rPr>
        <w:t xml:space="preserve">the previous year’s corresponding quarter </w:t>
      </w:r>
      <w:r w:rsidRPr="0047785C">
        <w:rPr>
          <w:sz w:val="20"/>
        </w:rPr>
        <w:t xml:space="preserve">non-recurring item of a write back of provision no longer required of RM17.50 million consequent to a resolution of litigation (as disclosed in Note A4), </w:t>
      </w:r>
      <w:r w:rsidR="00B46406">
        <w:rPr>
          <w:sz w:val="20"/>
        </w:rPr>
        <w:t>the current quarter</w:t>
      </w:r>
      <w:r w:rsidRPr="0047785C">
        <w:rPr>
          <w:sz w:val="20"/>
        </w:rPr>
        <w:t xml:space="preserve"> operating profit before taxation was </w:t>
      </w:r>
      <w:r w:rsidR="00B46406">
        <w:rPr>
          <w:sz w:val="20"/>
        </w:rPr>
        <w:t xml:space="preserve">lower by </w:t>
      </w:r>
      <w:r w:rsidRPr="0047785C">
        <w:rPr>
          <w:sz w:val="20"/>
        </w:rPr>
        <w:t>RM10.</w:t>
      </w:r>
      <w:r w:rsidR="00010D7A">
        <w:rPr>
          <w:sz w:val="20"/>
        </w:rPr>
        <w:t>85</w:t>
      </w:r>
      <w:r w:rsidRPr="0047785C">
        <w:rPr>
          <w:sz w:val="20"/>
        </w:rPr>
        <w:t xml:space="preserve"> million or 3</w:t>
      </w:r>
      <w:r w:rsidR="00010D7A">
        <w:rPr>
          <w:sz w:val="20"/>
        </w:rPr>
        <w:t>6.19</w:t>
      </w:r>
      <w:r w:rsidRPr="0047785C">
        <w:rPr>
          <w:sz w:val="20"/>
        </w:rPr>
        <w:t>%</w:t>
      </w:r>
      <w:r w:rsidR="009742E1">
        <w:rPr>
          <w:sz w:val="20"/>
        </w:rPr>
        <w:t>.</w:t>
      </w:r>
      <w:r w:rsidRPr="0047785C">
        <w:rPr>
          <w:sz w:val="20"/>
        </w:rPr>
        <w:t xml:space="preserve"> Apart from PNG </w:t>
      </w:r>
      <w:r w:rsidR="00010D7A">
        <w:rPr>
          <w:sz w:val="20"/>
        </w:rPr>
        <w:t xml:space="preserve">Group </w:t>
      </w:r>
      <w:r w:rsidRPr="0047785C">
        <w:rPr>
          <w:sz w:val="20"/>
        </w:rPr>
        <w:t>(RM12.22 million) and MBf Printing (RM1.90 million), all other companie</w:t>
      </w:r>
      <w:r w:rsidR="00AD1A80">
        <w:rPr>
          <w:sz w:val="20"/>
        </w:rPr>
        <w:t>s reported adverse performance.  T</w:t>
      </w:r>
      <w:r w:rsidRPr="0047785C">
        <w:rPr>
          <w:sz w:val="20"/>
        </w:rPr>
        <w:t>he Shipping business and the operations in Fiji</w:t>
      </w:r>
      <w:r w:rsidR="00AD1A80">
        <w:rPr>
          <w:sz w:val="20"/>
        </w:rPr>
        <w:t>, both</w:t>
      </w:r>
      <w:r w:rsidR="00DB3345">
        <w:rPr>
          <w:sz w:val="20"/>
        </w:rPr>
        <w:t xml:space="preserve"> </w:t>
      </w:r>
      <w:r w:rsidRPr="0047785C">
        <w:rPr>
          <w:sz w:val="20"/>
        </w:rPr>
        <w:t>had</w:t>
      </w:r>
      <w:r w:rsidR="00DB3345">
        <w:rPr>
          <w:sz w:val="20"/>
        </w:rPr>
        <w:t xml:space="preserve"> </w:t>
      </w:r>
      <w:r w:rsidRPr="0047785C">
        <w:rPr>
          <w:sz w:val="20"/>
        </w:rPr>
        <w:t xml:space="preserve">higher loss </w:t>
      </w:r>
      <w:r w:rsidR="00AD1A80">
        <w:rPr>
          <w:sz w:val="20"/>
        </w:rPr>
        <w:t xml:space="preserve">by </w:t>
      </w:r>
      <w:r w:rsidRPr="0047785C">
        <w:rPr>
          <w:sz w:val="20"/>
        </w:rPr>
        <w:t xml:space="preserve">RM11.55 million and RM5.39 million respectively and MBF Cards had lower profits </w:t>
      </w:r>
      <w:r w:rsidR="00AD1A80">
        <w:rPr>
          <w:sz w:val="20"/>
        </w:rPr>
        <w:t xml:space="preserve">by </w:t>
      </w:r>
      <w:r w:rsidRPr="0047785C">
        <w:rPr>
          <w:sz w:val="20"/>
        </w:rPr>
        <w:t>RM4.66 million.</w:t>
      </w:r>
    </w:p>
    <w:p w:rsidR="00B16996" w:rsidRPr="0047785C" w:rsidRDefault="00B16996" w:rsidP="00B16996">
      <w:pPr>
        <w:pStyle w:val="BodyText"/>
        <w:tabs>
          <w:tab w:val="left" w:pos="0"/>
        </w:tabs>
        <w:ind w:left="720" w:right="-90"/>
        <w:rPr>
          <w:sz w:val="20"/>
        </w:rPr>
      </w:pPr>
    </w:p>
    <w:p w:rsidR="00B16996" w:rsidRPr="0047785C" w:rsidRDefault="00B16996" w:rsidP="00B16996">
      <w:pPr>
        <w:pStyle w:val="BodyText"/>
        <w:tabs>
          <w:tab w:val="left" w:pos="0"/>
        </w:tabs>
        <w:ind w:left="720" w:right="-90" w:hanging="1800"/>
        <w:rPr>
          <w:sz w:val="20"/>
        </w:rPr>
      </w:pPr>
      <w:r w:rsidRPr="0047785C">
        <w:rPr>
          <w:sz w:val="20"/>
        </w:rPr>
        <w:tab/>
      </w:r>
      <w:r w:rsidRPr="0047785C">
        <w:rPr>
          <w:sz w:val="20"/>
        </w:rPr>
        <w:tab/>
      </w:r>
    </w:p>
    <w:p w:rsidR="00B16996" w:rsidRPr="0047785C" w:rsidRDefault="00B16996" w:rsidP="00B16996">
      <w:pPr>
        <w:pStyle w:val="BodyText"/>
        <w:ind w:right="-450"/>
        <w:rPr>
          <w:b/>
          <w:sz w:val="20"/>
        </w:rPr>
      </w:pPr>
      <w:r w:rsidRPr="0047785C">
        <w:rPr>
          <w:sz w:val="20"/>
        </w:rPr>
        <w:t>B2</w:t>
      </w:r>
      <w:r w:rsidRPr="0047785C">
        <w:rPr>
          <w:b/>
          <w:sz w:val="20"/>
        </w:rPr>
        <w:tab/>
        <w:t>Variation of results against preceding quarter</w:t>
      </w:r>
    </w:p>
    <w:p w:rsidR="00B16996" w:rsidRPr="0047785C" w:rsidRDefault="00B16996" w:rsidP="00B16996">
      <w:pPr>
        <w:pStyle w:val="BodyText"/>
        <w:tabs>
          <w:tab w:val="left" w:pos="0"/>
        </w:tabs>
        <w:ind w:left="720" w:right="-450" w:hanging="1800"/>
        <w:rPr>
          <w:sz w:val="20"/>
        </w:rPr>
      </w:pPr>
    </w:p>
    <w:p w:rsidR="00B16996" w:rsidRDefault="00B16996" w:rsidP="00B16996">
      <w:pPr>
        <w:pStyle w:val="BodyText"/>
        <w:tabs>
          <w:tab w:val="left" w:pos="0"/>
        </w:tabs>
        <w:ind w:left="720" w:right="-90" w:hanging="1800"/>
        <w:rPr>
          <w:sz w:val="20"/>
        </w:rPr>
      </w:pPr>
      <w:r w:rsidRPr="0047785C">
        <w:rPr>
          <w:sz w:val="20"/>
        </w:rPr>
        <w:tab/>
      </w:r>
      <w:r w:rsidRPr="0047785C">
        <w:rPr>
          <w:sz w:val="20"/>
        </w:rPr>
        <w:tab/>
        <w:t xml:space="preserve">The current quarter’s pre-tax profit </w:t>
      </w:r>
      <w:r>
        <w:rPr>
          <w:sz w:val="20"/>
        </w:rPr>
        <w:t xml:space="preserve">of </w:t>
      </w:r>
      <w:r w:rsidRPr="0047785C">
        <w:rPr>
          <w:sz w:val="20"/>
        </w:rPr>
        <w:t>RM</w:t>
      </w:r>
      <w:r>
        <w:rPr>
          <w:sz w:val="20"/>
        </w:rPr>
        <w:t>19.13</w:t>
      </w:r>
      <w:r w:rsidRPr="0047785C">
        <w:rPr>
          <w:sz w:val="20"/>
        </w:rPr>
        <w:t xml:space="preserve"> million </w:t>
      </w:r>
      <w:r>
        <w:rPr>
          <w:sz w:val="20"/>
        </w:rPr>
        <w:t xml:space="preserve">was RM1.81 million or 10.45% higher than </w:t>
      </w:r>
      <w:r w:rsidRPr="0047785C">
        <w:rPr>
          <w:sz w:val="20"/>
        </w:rPr>
        <w:t>the preceding quarter of RM</w:t>
      </w:r>
      <w:r>
        <w:rPr>
          <w:sz w:val="20"/>
        </w:rPr>
        <w:t>17.32</w:t>
      </w:r>
      <w:r w:rsidRPr="0047785C">
        <w:rPr>
          <w:sz w:val="20"/>
        </w:rPr>
        <w:t xml:space="preserve"> million</w:t>
      </w:r>
      <w:r>
        <w:rPr>
          <w:sz w:val="20"/>
        </w:rPr>
        <w:t>.  Disregarding the non-recurring items of RM24.24 million which comprised principally net gains from fair value adjustment of i</w:t>
      </w:r>
      <w:r w:rsidRPr="0047785C">
        <w:rPr>
          <w:sz w:val="20"/>
        </w:rPr>
        <w:t xml:space="preserve">nvestment </w:t>
      </w:r>
      <w:r>
        <w:rPr>
          <w:sz w:val="20"/>
        </w:rPr>
        <w:t>p</w:t>
      </w:r>
      <w:r w:rsidRPr="0047785C">
        <w:rPr>
          <w:sz w:val="20"/>
        </w:rPr>
        <w:t>roperties</w:t>
      </w:r>
      <w:r>
        <w:rPr>
          <w:sz w:val="20"/>
        </w:rPr>
        <w:t xml:space="preserve"> (RM24.18 million) in the preceding quarter’s result</w:t>
      </w:r>
      <w:r w:rsidR="009742E1">
        <w:rPr>
          <w:sz w:val="20"/>
        </w:rPr>
        <w:t>,</w:t>
      </w:r>
      <w:r>
        <w:rPr>
          <w:sz w:val="20"/>
        </w:rPr>
        <w:t xml:space="preserve"> </w:t>
      </w:r>
      <w:r w:rsidR="00DB3345">
        <w:rPr>
          <w:sz w:val="20"/>
        </w:rPr>
        <w:t xml:space="preserve">the preceding quarter’s loss </w:t>
      </w:r>
      <w:r>
        <w:rPr>
          <w:sz w:val="20"/>
        </w:rPr>
        <w:t xml:space="preserve">would be RM6.92 million. </w:t>
      </w:r>
    </w:p>
    <w:p w:rsidR="00B16996" w:rsidRDefault="00B16996" w:rsidP="00B16996">
      <w:pPr>
        <w:pStyle w:val="BodyText"/>
        <w:tabs>
          <w:tab w:val="left" w:pos="0"/>
        </w:tabs>
        <w:ind w:left="720" w:right="-90" w:hanging="1800"/>
        <w:rPr>
          <w:sz w:val="20"/>
        </w:rPr>
      </w:pPr>
    </w:p>
    <w:p w:rsidR="00B16996" w:rsidRDefault="00B16996" w:rsidP="00B16996">
      <w:pPr>
        <w:pStyle w:val="BodyText"/>
        <w:tabs>
          <w:tab w:val="left" w:pos="0"/>
        </w:tabs>
        <w:ind w:left="720" w:right="-90" w:hanging="1800"/>
        <w:rPr>
          <w:sz w:val="20"/>
        </w:rPr>
      </w:pPr>
      <w:r>
        <w:rPr>
          <w:sz w:val="20"/>
        </w:rPr>
        <w:tab/>
      </w:r>
      <w:r>
        <w:rPr>
          <w:sz w:val="20"/>
        </w:rPr>
        <w:tab/>
        <w:t xml:space="preserve">The improved profits before tax of RM26.05 million was consequent primarily to the better performance in the South Pacific operations (RM26.89 million) especially PNG (RM21.43 million).   </w:t>
      </w:r>
    </w:p>
    <w:p w:rsidR="0004295B" w:rsidRDefault="0004295B" w:rsidP="003D05A6">
      <w:pPr>
        <w:pStyle w:val="BodyText"/>
        <w:tabs>
          <w:tab w:val="left" w:pos="0"/>
        </w:tabs>
        <w:ind w:left="720" w:right="-90" w:hanging="1800"/>
        <w:rPr>
          <w:sz w:val="20"/>
        </w:rPr>
      </w:pPr>
    </w:p>
    <w:p w:rsidR="00CA22F1" w:rsidRDefault="0004295B" w:rsidP="003D05A6">
      <w:pPr>
        <w:pStyle w:val="BodyText"/>
        <w:tabs>
          <w:tab w:val="left" w:pos="0"/>
        </w:tabs>
        <w:ind w:left="720" w:right="-90" w:hanging="1800"/>
        <w:rPr>
          <w:sz w:val="20"/>
        </w:rPr>
      </w:pPr>
      <w:r>
        <w:rPr>
          <w:sz w:val="20"/>
        </w:rPr>
        <w:t xml:space="preserve"> </w:t>
      </w:r>
    </w:p>
    <w:p w:rsidR="0059386B" w:rsidRDefault="006B460C" w:rsidP="00094D69">
      <w:pPr>
        <w:pStyle w:val="BodyText"/>
        <w:tabs>
          <w:tab w:val="left" w:pos="0"/>
        </w:tabs>
        <w:ind w:left="720" w:right="-90" w:hanging="1800"/>
        <w:rPr>
          <w:b/>
          <w:sz w:val="20"/>
        </w:rPr>
      </w:pPr>
      <w:r>
        <w:rPr>
          <w:sz w:val="20"/>
        </w:rPr>
        <w:tab/>
      </w:r>
      <w:r w:rsidR="0059386B">
        <w:rPr>
          <w:sz w:val="20"/>
        </w:rPr>
        <w:t>B3</w:t>
      </w:r>
      <w:r w:rsidR="0059386B">
        <w:rPr>
          <w:sz w:val="20"/>
        </w:rPr>
        <w:tab/>
      </w:r>
      <w:r w:rsidR="0039273A" w:rsidRPr="00A73746">
        <w:rPr>
          <w:b/>
          <w:sz w:val="20"/>
        </w:rPr>
        <w:t>P</w:t>
      </w:r>
      <w:r w:rsidR="0059386B" w:rsidRPr="00A53679">
        <w:rPr>
          <w:b/>
          <w:sz w:val="20"/>
        </w:rPr>
        <w:t>rospects</w:t>
      </w:r>
      <w:r w:rsidR="00205D78">
        <w:rPr>
          <w:b/>
          <w:sz w:val="20"/>
        </w:rPr>
        <w:t xml:space="preserve"> for 201</w:t>
      </w:r>
      <w:r w:rsidR="00634A78">
        <w:rPr>
          <w:b/>
          <w:sz w:val="20"/>
        </w:rPr>
        <w:t>1</w:t>
      </w:r>
    </w:p>
    <w:p w:rsidR="00671D61" w:rsidRDefault="00671D61" w:rsidP="00491580">
      <w:pPr>
        <w:pStyle w:val="BodyText"/>
        <w:ind w:left="720" w:right="-450" w:hanging="1800"/>
        <w:rPr>
          <w:sz w:val="20"/>
        </w:rPr>
      </w:pPr>
    </w:p>
    <w:p w:rsidR="00EF5F83" w:rsidRDefault="00EF5F83" w:rsidP="00EF5F83">
      <w:pPr>
        <w:ind w:left="720"/>
        <w:jc w:val="both"/>
      </w:pPr>
      <w:r>
        <w:t>With the outlook of the global economy continu</w:t>
      </w:r>
      <w:r w:rsidR="00DB3345">
        <w:t>ing</w:t>
      </w:r>
      <w:r>
        <w:t xml:space="preserve"> to be uncertain, </w:t>
      </w:r>
      <w:r w:rsidRPr="00995D4B">
        <w:t>the Group</w:t>
      </w:r>
      <w:r>
        <w:t xml:space="preserve"> expects its</w:t>
      </w:r>
      <w:r w:rsidRPr="00995D4B">
        <w:t xml:space="preserve"> operations </w:t>
      </w:r>
      <w:r>
        <w:t xml:space="preserve">in the year 2011 to </w:t>
      </w:r>
      <w:r w:rsidRPr="00995D4B">
        <w:t>remain challenging in light of stiffer competiti</w:t>
      </w:r>
      <w:r>
        <w:t>on</w:t>
      </w:r>
      <w:r w:rsidRPr="00995D4B">
        <w:t xml:space="preserve"> in the </w:t>
      </w:r>
      <w:r>
        <w:t xml:space="preserve">credit </w:t>
      </w:r>
      <w:r w:rsidRPr="00995D4B">
        <w:t xml:space="preserve">card </w:t>
      </w:r>
      <w:r>
        <w:t>operation</w:t>
      </w:r>
      <w:r w:rsidR="00DB3345">
        <w:t>s</w:t>
      </w:r>
      <w:r>
        <w:t xml:space="preserve"> and the stagnant economy </w:t>
      </w:r>
      <w:r w:rsidRPr="00995D4B">
        <w:t xml:space="preserve">in Fiji. </w:t>
      </w:r>
      <w:r>
        <w:t>Barring unforeseen circumstances, the PNG operations are expected to deliver good results due to</w:t>
      </w:r>
      <w:r w:rsidR="00DB3345">
        <w:t xml:space="preserve"> the improved commodity prices and </w:t>
      </w:r>
      <w:r>
        <w:t xml:space="preserve">its robust economy. </w:t>
      </w:r>
    </w:p>
    <w:p w:rsidR="00EF5F83" w:rsidRDefault="00EF5F83" w:rsidP="00EF5F83">
      <w:pPr>
        <w:jc w:val="both"/>
      </w:pPr>
    </w:p>
    <w:p w:rsidR="00EF5F83" w:rsidRPr="00D46285" w:rsidRDefault="00EF5F83" w:rsidP="00EF5F83">
      <w:pPr>
        <w:ind w:left="720"/>
        <w:jc w:val="both"/>
      </w:pPr>
      <w:r w:rsidRPr="00995D4B">
        <w:t>Despite the challenges of the operating environment locally and globally, the Group will continue to persevere in managing and growing its businesses</w:t>
      </w:r>
      <w:r>
        <w:t xml:space="preserve"> especially its newly commenced liner shipping business. </w:t>
      </w:r>
      <w:r w:rsidRPr="00995D4B">
        <w:t>Continued efforts will be made to upgrade operating infrastructure, improve cost structures and resources</w:t>
      </w:r>
      <w:r>
        <w:t>.</w:t>
      </w:r>
      <w:r w:rsidRPr="00D46285">
        <w:t xml:space="preserve"> </w:t>
      </w:r>
    </w:p>
    <w:p w:rsidR="00290FF3" w:rsidRDefault="00290FF3" w:rsidP="00405DD3">
      <w:pPr>
        <w:ind w:left="720"/>
        <w:jc w:val="both"/>
      </w:pPr>
    </w:p>
    <w:p w:rsidR="00461F15" w:rsidRDefault="00461F15" w:rsidP="00491580">
      <w:pPr>
        <w:pStyle w:val="BodyText"/>
        <w:tabs>
          <w:tab w:val="left" w:pos="720"/>
        </w:tabs>
        <w:ind w:left="720" w:right="-450" w:hanging="1800"/>
        <w:rPr>
          <w:sz w:val="20"/>
        </w:rPr>
      </w:pPr>
    </w:p>
    <w:p w:rsidR="0059386B" w:rsidRDefault="0059386B" w:rsidP="006B460C">
      <w:pPr>
        <w:pStyle w:val="BodyText"/>
        <w:tabs>
          <w:tab w:val="left" w:pos="720"/>
        </w:tabs>
        <w:ind w:left="720" w:right="-450" w:hanging="720"/>
        <w:rPr>
          <w:b/>
          <w:sz w:val="20"/>
        </w:rPr>
      </w:pPr>
      <w:r>
        <w:rPr>
          <w:sz w:val="20"/>
        </w:rPr>
        <w:t>B4</w:t>
      </w:r>
      <w:r>
        <w:rPr>
          <w:sz w:val="20"/>
        </w:rPr>
        <w:tab/>
      </w:r>
      <w:r>
        <w:rPr>
          <w:b/>
          <w:sz w:val="20"/>
        </w:rPr>
        <w:t>Variance of actual profit from forecast profit</w:t>
      </w:r>
    </w:p>
    <w:p w:rsidR="00671D61" w:rsidRDefault="0059386B" w:rsidP="00491580">
      <w:pPr>
        <w:pStyle w:val="BodyText"/>
        <w:tabs>
          <w:tab w:val="left" w:pos="720"/>
        </w:tabs>
        <w:ind w:left="720" w:right="-450" w:hanging="1800"/>
        <w:rPr>
          <w:sz w:val="20"/>
        </w:rPr>
      </w:pPr>
      <w:r>
        <w:rPr>
          <w:sz w:val="20"/>
        </w:rPr>
        <w:tab/>
      </w:r>
    </w:p>
    <w:p w:rsidR="0059386B" w:rsidRDefault="00671D61" w:rsidP="00491580">
      <w:pPr>
        <w:pStyle w:val="BodyText"/>
        <w:tabs>
          <w:tab w:val="left" w:pos="720"/>
        </w:tabs>
        <w:ind w:left="720" w:right="-450" w:hanging="1800"/>
        <w:rPr>
          <w:sz w:val="20"/>
        </w:rPr>
      </w:pPr>
      <w:r>
        <w:rPr>
          <w:sz w:val="20"/>
        </w:rPr>
        <w:tab/>
      </w:r>
      <w:r w:rsidR="0059386B">
        <w:rPr>
          <w:sz w:val="20"/>
        </w:rPr>
        <w:t>The Company has not provided any forecast or profit</w:t>
      </w:r>
      <w:r>
        <w:rPr>
          <w:sz w:val="20"/>
        </w:rPr>
        <w:t xml:space="preserve"> guarantee for t</w:t>
      </w:r>
      <w:r w:rsidR="00CC46BF">
        <w:rPr>
          <w:sz w:val="20"/>
        </w:rPr>
        <w:t>he</w:t>
      </w:r>
      <w:r w:rsidR="0089619D">
        <w:rPr>
          <w:sz w:val="20"/>
        </w:rPr>
        <w:t xml:space="preserve"> </w:t>
      </w:r>
      <w:r w:rsidR="00F512D5">
        <w:rPr>
          <w:sz w:val="20"/>
        </w:rPr>
        <w:t>period</w:t>
      </w:r>
      <w:r w:rsidR="0089619D">
        <w:rPr>
          <w:sz w:val="20"/>
        </w:rPr>
        <w:t xml:space="preserve"> </w:t>
      </w:r>
      <w:r>
        <w:rPr>
          <w:sz w:val="20"/>
        </w:rPr>
        <w:t>under review.</w:t>
      </w:r>
    </w:p>
    <w:p w:rsidR="00461F15" w:rsidRDefault="00461F15" w:rsidP="00491580">
      <w:pPr>
        <w:pStyle w:val="BodyText"/>
        <w:tabs>
          <w:tab w:val="left" w:pos="720"/>
        </w:tabs>
        <w:ind w:left="720" w:right="-450" w:hanging="1800"/>
        <w:rPr>
          <w:sz w:val="20"/>
        </w:rPr>
      </w:pPr>
    </w:p>
    <w:p w:rsidR="00003323" w:rsidRDefault="00003323" w:rsidP="00491580">
      <w:pPr>
        <w:pStyle w:val="BodyText"/>
        <w:tabs>
          <w:tab w:val="left" w:pos="720"/>
        </w:tabs>
        <w:ind w:left="720" w:right="-450" w:hanging="1800"/>
        <w:rPr>
          <w:sz w:val="20"/>
        </w:rPr>
      </w:pPr>
    </w:p>
    <w:p w:rsidR="00003323" w:rsidRDefault="00003323" w:rsidP="00491580">
      <w:pPr>
        <w:pStyle w:val="BodyText"/>
        <w:tabs>
          <w:tab w:val="left" w:pos="720"/>
        </w:tabs>
        <w:ind w:left="720" w:right="-450" w:hanging="1800"/>
        <w:rPr>
          <w:sz w:val="20"/>
        </w:rPr>
      </w:pPr>
    </w:p>
    <w:p w:rsidR="00003323" w:rsidRDefault="00003323" w:rsidP="00491580">
      <w:pPr>
        <w:pStyle w:val="BodyText"/>
        <w:tabs>
          <w:tab w:val="left" w:pos="720"/>
        </w:tabs>
        <w:ind w:left="720" w:right="-450" w:hanging="1800"/>
        <w:rPr>
          <w:sz w:val="20"/>
        </w:rPr>
      </w:pPr>
    </w:p>
    <w:p w:rsidR="003263AE" w:rsidRDefault="003263AE" w:rsidP="00491580">
      <w:pPr>
        <w:pStyle w:val="BodyText"/>
        <w:tabs>
          <w:tab w:val="left" w:pos="720"/>
        </w:tabs>
        <w:ind w:left="720" w:right="-450" w:hanging="1800"/>
        <w:rPr>
          <w:sz w:val="20"/>
        </w:rPr>
      </w:pPr>
    </w:p>
    <w:p w:rsidR="00DB3345" w:rsidRDefault="00DB3345" w:rsidP="00491580">
      <w:pPr>
        <w:pStyle w:val="BodyText"/>
        <w:tabs>
          <w:tab w:val="left" w:pos="720"/>
        </w:tabs>
        <w:ind w:left="720" w:right="-450" w:hanging="1800"/>
        <w:rPr>
          <w:sz w:val="20"/>
        </w:rPr>
      </w:pPr>
    </w:p>
    <w:p w:rsidR="00003323" w:rsidRDefault="00003323" w:rsidP="00491580">
      <w:pPr>
        <w:pStyle w:val="BodyText"/>
        <w:tabs>
          <w:tab w:val="left" w:pos="720"/>
        </w:tabs>
        <w:ind w:left="720" w:right="-450" w:hanging="1800"/>
        <w:rPr>
          <w:sz w:val="20"/>
        </w:rPr>
      </w:pPr>
    </w:p>
    <w:p w:rsidR="00003323" w:rsidRDefault="00003323" w:rsidP="00491580">
      <w:pPr>
        <w:pStyle w:val="BodyText"/>
        <w:tabs>
          <w:tab w:val="left" w:pos="720"/>
        </w:tabs>
        <w:ind w:left="720" w:right="-450" w:hanging="1800"/>
        <w:rPr>
          <w:sz w:val="20"/>
        </w:rPr>
      </w:pPr>
    </w:p>
    <w:p w:rsidR="0059386B" w:rsidRDefault="0059386B" w:rsidP="006B460C">
      <w:pPr>
        <w:pStyle w:val="BodyText"/>
        <w:tabs>
          <w:tab w:val="left" w:pos="720"/>
        </w:tabs>
        <w:ind w:left="720" w:right="-450" w:hanging="720"/>
        <w:rPr>
          <w:b/>
          <w:sz w:val="20"/>
        </w:rPr>
      </w:pPr>
      <w:r>
        <w:rPr>
          <w:sz w:val="20"/>
        </w:rPr>
        <w:t>B5</w:t>
      </w:r>
      <w:r>
        <w:rPr>
          <w:sz w:val="20"/>
        </w:rPr>
        <w:tab/>
      </w:r>
      <w:r w:rsidRPr="00ED0C4E">
        <w:rPr>
          <w:b/>
          <w:sz w:val="20"/>
        </w:rPr>
        <w:t>Taxation</w:t>
      </w:r>
    </w:p>
    <w:p w:rsidR="007233FD" w:rsidRDefault="007233FD" w:rsidP="00491580">
      <w:pPr>
        <w:pStyle w:val="BodyText"/>
        <w:tabs>
          <w:tab w:val="left" w:pos="720"/>
        </w:tabs>
        <w:ind w:left="720" w:right="-450" w:hanging="1800"/>
        <w:rPr>
          <w:b/>
          <w:sz w:val="20"/>
        </w:rPr>
      </w:pPr>
      <w:r>
        <w:rPr>
          <w:b/>
          <w:sz w:val="20"/>
        </w:rPr>
        <w:tab/>
      </w:r>
    </w:p>
    <w:tbl>
      <w:tblPr>
        <w:tblW w:w="8730" w:type="dxa"/>
        <w:tblInd w:w="828" w:type="dxa"/>
        <w:tblLayout w:type="fixed"/>
        <w:tblLook w:val="0000"/>
      </w:tblPr>
      <w:tblGrid>
        <w:gridCol w:w="2700"/>
        <w:gridCol w:w="1170"/>
        <w:gridCol w:w="1890"/>
        <w:gridCol w:w="1170"/>
        <w:gridCol w:w="1800"/>
      </w:tblGrid>
      <w:tr w:rsidR="007233FD">
        <w:trPr>
          <w:cantSplit/>
        </w:trPr>
        <w:tc>
          <w:tcPr>
            <w:tcW w:w="2700" w:type="dxa"/>
          </w:tcPr>
          <w:p w:rsidR="007233FD" w:rsidRDefault="007233FD" w:rsidP="00491580">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450" w:hanging="108"/>
              <w:jc w:val="center"/>
              <w:rPr>
                <w:b/>
                <w:sz w:val="18"/>
              </w:rPr>
            </w:pPr>
            <w:r>
              <w:rPr>
                <w:b/>
                <w:sz w:val="18"/>
              </w:rPr>
              <w:t>INDIVIDUAL QUARTER</w:t>
            </w:r>
          </w:p>
        </w:tc>
        <w:tc>
          <w:tcPr>
            <w:tcW w:w="2970" w:type="dxa"/>
            <w:gridSpan w:val="2"/>
            <w:tcBorders>
              <w:top w:val="single" w:sz="4" w:space="0" w:color="auto"/>
              <w:left w:val="nil"/>
              <w:right w:val="single" w:sz="4" w:space="0" w:color="auto"/>
            </w:tcBorders>
          </w:tcPr>
          <w:p w:rsidR="007233FD" w:rsidRDefault="007233FD" w:rsidP="006B460C">
            <w:pPr>
              <w:pStyle w:val="BodyText"/>
              <w:ind w:right="-450" w:hanging="108"/>
              <w:jc w:val="center"/>
              <w:rPr>
                <w:b/>
                <w:sz w:val="18"/>
              </w:rPr>
            </w:pPr>
            <w:r>
              <w:rPr>
                <w:b/>
                <w:sz w:val="18"/>
              </w:rPr>
              <w:t>CUMULATIVE QUARTER</w:t>
            </w:r>
          </w:p>
        </w:tc>
      </w:tr>
      <w:tr w:rsidR="007233FD">
        <w:tc>
          <w:tcPr>
            <w:tcW w:w="2700" w:type="dxa"/>
          </w:tcPr>
          <w:p w:rsidR="007233FD" w:rsidRDefault="007233FD" w:rsidP="00491580">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CURRENT</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YEAR</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QUARTER</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3</w:t>
            </w:r>
            <w:r w:rsidR="00666B66">
              <w:rPr>
                <w:b/>
                <w:sz w:val="18"/>
              </w:rPr>
              <w:t>1</w:t>
            </w:r>
            <w:r>
              <w:rPr>
                <w:b/>
                <w:sz w:val="18"/>
              </w:rPr>
              <w:t>/</w:t>
            </w:r>
            <w:r w:rsidR="00212EE0">
              <w:rPr>
                <w:b/>
                <w:sz w:val="18"/>
              </w:rPr>
              <w:t>03</w:t>
            </w:r>
            <w:r w:rsidR="00843E4F">
              <w:rPr>
                <w:b/>
                <w:sz w:val="18"/>
              </w:rPr>
              <w:t>/201</w:t>
            </w:r>
            <w:r w:rsidR="00212EE0">
              <w:rPr>
                <w:b/>
                <w:sz w:val="18"/>
              </w:rPr>
              <w:t>1</w:t>
            </w:r>
          </w:p>
          <w:p w:rsidR="00DC3F34" w:rsidRDefault="00DC3F34" w:rsidP="006B460C">
            <w:pPr>
              <w:pStyle w:val="BodyText"/>
              <w:tabs>
                <w:tab w:val="left" w:pos="360"/>
                <w:tab w:val="left" w:pos="540"/>
                <w:tab w:val="left" w:pos="630"/>
                <w:tab w:val="left" w:pos="1080"/>
              </w:tabs>
              <w:ind w:right="-108" w:hanging="108"/>
              <w:jc w:val="center"/>
              <w:rPr>
                <w:b/>
                <w:sz w:val="18"/>
              </w:rPr>
            </w:pPr>
            <w:r>
              <w:rPr>
                <w:b/>
                <w:sz w:val="18"/>
              </w:rPr>
              <w:t>RM’000</w:t>
            </w:r>
          </w:p>
        </w:tc>
        <w:tc>
          <w:tcPr>
            <w:tcW w:w="1890" w:type="dxa"/>
            <w:tcBorders>
              <w:top w:val="single" w:sz="4" w:space="0" w:color="auto"/>
              <w:left w:val="nil"/>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PRECEDING YEAR</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CORRESPONDING</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QUARTER</w:t>
            </w:r>
          </w:p>
          <w:p w:rsidR="007233FD" w:rsidRDefault="00353A85" w:rsidP="006B460C">
            <w:pPr>
              <w:pStyle w:val="BodyText"/>
              <w:tabs>
                <w:tab w:val="left" w:pos="360"/>
                <w:tab w:val="left" w:pos="540"/>
                <w:tab w:val="left" w:pos="630"/>
                <w:tab w:val="left" w:pos="1080"/>
              </w:tabs>
              <w:ind w:right="-108" w:hanging="108"/>
              <w:jc w:val="center"/>
              <w:rPr>
                <w:b/>
                <w:sz w:val="18"/>
              </w:rPr>
            </w:pPr>
            <w:r>
              <w:rPr>
                <w:b/>
                <w:sz w:val="18"/>
              </w:rPr>
              <w:t>3</w:t>
            </w:r>
            <w:r w:rsidR="00666B66">
              <w:rPr>
                <w:b/>
                <w:sz w:val="18"/>
              </w:rPr>
              <w:t>1</w:t>
            </w:r>
            <w:r>
              <w:rPr>
                <w:b/>
                <w:sz w:val="18"/>
              </w:rPr>
              <w:t>/</w:t>
            </w:r>
            <w:r w:rsidR="00212EE0">
              <w:rPr>
                <w:b/>
                <w:sz w:val="18"/>
              </w:rPr>
              <w:t>03</w:t>
            </w:r>
            <w:r w:rsidR="00843E4F">
              <w:rPr>
                <w:b/>
                <w:sz w:val="18"/>
              </w:rPr>
              <w:t>/20</w:t>
            </w:r>
            <w:r w:rsidR="00212EE0">
              <w:rPr>
                <w:b/>
                <w:sz w:val="18"/>
              </w:rPr>
              <w:t>10</w:t>
            </w:r>
          </w:p>
          <w:p w:rsidR="00DC3F34" w:rsidRDefault="00DC3F34" w:rsidP="006B460C">
            <w:pPr>
              <w:pStyle w:val="BodyText"/>
              <w:tabs>
                <w:tab w:val="left" w:pos="360"/>
                <w:tab w:val="left" w:pos="540"/>
                <w:tab w:val="left" w:pos="630"/>
                <w:tab w:val="left" w:pos="1080"/>
              </w:tabs>
              <w:ind w:right="-108" w:hanging="108"/>
              <w:jc w:val="center"/>
              <w:rPr>
                <w:b/>
                <w:sz w:val="18"/>
              </w:rPr>
            </w:pPr>
            <w:r>
              <w:rPr>
                <w:b/>
                <w:sz w:val="18"/>
              </w:rPr>
              <w:t>RM’000</w:t>
            </w:r>
          </w:p>
        </w:tc>
        <w:tc>
          <w:tcPr>
            <w:tcW w:w="1170" w:type="dxa"/>
            <w:tcBorders>
              <w:top w:val="single" w:sz="4" w:space="0" w:color="auto"/>
              <w:left w:val="nil"/>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CURRENT</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YEAR TO DATE</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3</w:t>
            </w:r>
            <w:r w:rsidR="00666B66">
              <w:rPr>
                <w:b/>
                <w:sz w:val="18"/>
              </w:rPr>
              <w:t>1</w:t>
            </w:r>
            <w:r>
              <w:rPr>
                <w:b/>
                <w:sz w:val="18"/>
              </w:rPr>
              <w:t>/</w:t>
            </w:r>
            <w:r w:rsidR="00212EE0">
              <w:rPr>
                <w:b/>
                <w:sz w:val="18"/>
              </w:rPr>
              <w:t>03</w:t>
            </w:r>
            <w:r w:rsidR="00843E4F">
              <w:rPr>
                <w:b/>
                <w:sz w:val="18"/>
              </w:rPr>
              <w:t>/201</w:t>
            </w:r>
            <w:r w:rsidR="00212EE0">
              <w:rPr>
                <w:b/>
                <w:sz w:val="18"/>
              </w:rPr>
              <w:t>1</w:t>
            </w:r>
          </w:p>
          <w:p w:rsidR="00DC3F34" w:rsidRDefault="00DC3F34" w:rsidP="006B460C">
            <w:pPr>
              <w:pStyle w:val="BodyText"/>
              <w:tabs>
                <w:tab w:val="left" w:pos="360"/>
                <w:tab w:val="left" w:pos="540"/>
                <w:tab w:val="left" w:pos="630"/>
                <w:tab w:val="left" w:pos="1080"/>
              </w:tabs>
              <w:ind w:right="-108" w:hanging="108"/>
              <w:jc w:val="center"/>
              <w:rPr>
                <w:b/>
                <w:sz w:val="18"/>
              </w:rPr>
            </w:pPr>
            <w:r>
              <w:rPr>
                <w:b/>
                <w:sz w:val="18"/>
              </w:rPr>
              <w:t>RM’000</w:t>
            </w:r>
          </w:p>
        </w:tc>
        <w:tc>
          <w:tcPr>
            <w:tcW w:w="1800" w:type="dxa"/>
            <w:tcBorders>
              <w:top w:val="single" w:sz="4" w:space="0" w:color="auto"/>
              <w:left w:val="nil"/>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PRECEDING YEAR</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CORRESPONDING</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PERIOD</w:t>
            </w:r>
          </w:p>
          <w:p w:rsidR="007233FD" w:rsidRDefault="00666B66" w:rsidP="006B460C">
            <w:pPr>
              <w:pStyle w:val="BodyText"/>
              <w:tabs>
                <w:tab w:val="left" w:pos="360"/>
                <w:tab w:val="left" w:pos="540"/>
                <w:tab w:val="left" w:pos="702"/>
                <w:tab w:val="left" w:pos="1080"/>
              </w:tabs>
              <w:ind w:right="-108" w:hanging="108"/>
              <w:jc w:val="center"/>
              <w:rPr>
                <w:b/>
                <w:sz w:val="18"/>
              </w:rPr>
            </w:pPr>
            <w:r>
              <w:rPr>
                <w:b/>
                <w:sz w:val="18"/>
              </w:rPr>
              <w:t>31</w:t>
            </w:r>
            <w:r w:rsidR="00353A85">
              <w:rPr>
                <w:b/>
                <w:sz w:val="18"/>
              </w:rPr>
              <w:t>/</w:t>
            </w:r>
            <w:r w:rsidR="00212EE0">
              <w:rPr>
                <w:b/>
                <w:sz w:val="18"/>
              </w:rPr>
              <w:t>03</w:t>
            </w:r>
            <w:r w:rsidR="00843E4F">
              <w:rPr>
                <w:b/>
                <w:sz w:val="18"/>
              </w:rPr>
              <w:t>/20</w:t>
            </w:r>
            <w:r w:rsidR="00212EE0">
              <w:rPr>
                <w:b/>
                <w:sz w:val="18"/>
              </w:rPr>
              <w:t>10</w:t>
            </w:r>
          </w:p>
          <w:p w:rsidR="00DC3F34" w:rsidRDefault="00DC3F34" w:rsidP="006B460C">
            <w:pPr>
              <w:pStyle w:val="BodyText"/>
              <w:tabs>
                <w:tab w:val="left" w:pos="360"/>
                <w:tab w:val="left" w:pos="540"/>
                <w:tab w:val="left" w:pos="702"/>
                <w:tab w:val="left" w:pos="1080"/>
              </w:tabs>
              <w:ind w:right="-108" w:hanging="108"/>
              <w:jc w:val="center"/>
              <w:rPr>
                <w:b/>
                <w:sz w:val="18"/>
              </w:rPr>
            </w:pPr>
            <w:r>
              <w:rPr>
                <w:b/>
                <w:sz w:val="18"/>
              </w:rPr>
              <w:t>RM’000</w:t>
            </w:r>
          </w:p>
        </w:tc>
      </w:tr>
      <w:tr w:rsidR="00843E4F">
        <w:tc>
          <w:tcPr>
            <w:tcW w:w="2700" w:type="dxa"/>
            <w:tcBorders>
              <w:right w:val="single" w:sz="4" w:space="0" w:color="auto"/>
            </w:tcBorders>
          </w:tcPr>
          <w:p w:rsidR="00843E4F" w:rsidRPr="00BD181D" w:rsidRDefault="00843E4F" w:rsidP="00843E4F">
            <w:pPr>
              <w:pStyle w:val="BodyText"/>
              <w:ind w:left="-108" w:right="-450"/>
              <w:jc w:val="left"/>
              <w:rPr>
                <w:sz w:val="20"/>
              </w:rPr>
            </w:pPr>
            <w:r w:rsidRPr="00BD181D">
              <w:rPr>
                <w:sz w:val="20"/>
              </w:rPr>
              <w:t>Taxation based on profits for the period</w:t>
            </w:r>
          </w:p>
        </w:tc>
        <w:tc>
          <w:tcPr>
            <w:tcW w:w="1170" w:type="dxa"/>
            <w:tcBorders>
              <w:top w:val="single" w:sz="4" w:space="0" w:color="auto"/>
              <w:left w:val="single" w:sz="4" w:space="0" w:color="auto"/>
              <w:right w:val="single" w:sz="4" w:space="0" w:color="auto"/>
            </w:tcBorders>
          </w:tcPr>
          <w:p w:rsidR="00843E4F" w:rsidRPr="00E00805" w:rsidRDefault="00843E4F" w:rsidP="00491580">
            <w:pPr>
              <w:pStyle w:val="BodyText"/>
              <w:ind w:right="-450" w:hanging="1800"/>
              <w:jc w:val="center"/>
              <w:rPr>
                <w:b/>
                <w:sz w:val="20"/>
                <w:highlight w:val="yellow"/>
              </w:rPr>
            </w:pPr>
          </w:p>
        </w:tc>
        <w:tc>
          <w:tcPr>
            <w:tcW w:w="1890" w:type="dxa"/>
            <w:tcBorders>
              <w:top w:val="single" w:sz="4" w:space="0" w:color="auto"/>
              <w:left w:val="single" w:sz="4" w:space="0" w:color="auto"/>
              <w:right w:val="single" w:sz="4" w:space="0" w:color="auto"/>
            </w:tcBorders>
          </w:tcPr>
          <w:p w:rsidR="00843E4F" w:rsidRPr="00E00805" w:rsidRDefault="00843E4F" w:rsidP="002959BA">
            <w:pPr>
              <w:pStyle w:val="BodyText"/>
              <w:ind w:right="-450" w:hanging="1800"/>
              <w:jc w:val="left"/>
              <w:rPr>
                <w:sz w:val="20"/>
                <w:highlight w:val="yellow"/>
              </w:rPr>
            </w:pPr>
          </w:p>
        </w:tc>
        <w:tc>
          <w:tcPr>
            <w:tcW w:w="1170" w:type="dxa"/>
            <w:tcBorders>
              <w:top w:val="single" w:sz="4" w:space="0" w:color="auto"/>
              <w:left w:val="single" w:sz="4" w:space="0" w:color="auto"/>
              <w:right w:val="single" w:sz="4" w:space="0" w:color="auto"/>
            </w:tcBorders>
          </w:tcPr>
          <w:p w:rsidR="00843E4F" w:rsidRPr="00E00805" w:rsidRDefault="00843E4F" w:rsidP="00491580">
            <w:pPr>
              <w:pStyle w:val="BodyText"/>
              <w:ind w:right="-450" w:hanging="1800"/>
              <w:jc w:val="center"/>
              <w:rPr>
                <w:b/>
                <w:sz w:val="20"/>
                <w:highlight w:val="yellow"/>
              </w:rPr>
            </w:pPr>
          </w:p>
        </w:tc>
        <w:tc>
          <w:tcPr>
            <w:tcW w:w="1800" w:type="dxa"/>
            <w:tcBorders>
              <w:top w:val="single" w:sz="4" w:space="0" w:color="auto"/>
              <w:left w:val="single" w:sz="4" w:space="0" w:color="auto"/>
              <w:right w:val="single" w:sz="4" w:space="0" w:color="auto"/>
            </w:tcBorders>
          </w:tcPr>
          <w:p w:rsidR="00843E4F" w:rsidRPr="00E00805" w:rsidRDefault="00843E4F" w:rsidP="00286C92">
            <w:pPr>
              <w:pStyle w:val="BodyText"/>
              <w:jc w:val="center"/>
              <w:rPr>
                <w:sz w:val="20"/>
                <w:highlight w:val="yellow"/>
              </w:rPr>
            </w:pPr>
          </w:p>
        </w:tc>
      </w:tr>
      <w:tr w:rsidR="00212EE0" w:rsidRPr="00222E05" w:rsidTr="00C3747A">
        <w:tc>
          <w:tcPr>
            <w:tcW w:w="2700" w:type="dxa"/>
            <w:tcBorders>
              <w:right w:val="single" w:sz="4" w:space="0" w:color="auto"/>
            </w:tcBorders>
            <w:shd w:val="clear" w:color="auto" w:fill="auto"/>
          </w:tcPr>
          <w:p w:rsidR="00212EE0" w:rsidRDefault="00212EE0" w:rsidP="006B460C">
            <w:pPr>
              <w:pStyle w:val="BodyText"/>
              <w:tabs>
                <w:tab w:val="left" w:pos="720"/>
              </w:tabs>
              <w:ind w:right="-450"/>
              <w:rPr>
                <w:sz w:val="20"/>
              </w:rPr>
            </w:pPr>
            <w:r>
              <w:rPr>
                <w:sz w:val="20"/>
              </w:rPr>
              <w:t>- Malaysian income tax</w:t>
            </w:r>
          </w:p>
        </w:tc>
        <w:tc>
          <w:tcPr>
            <w:tcW w:w="1170" w:type="dxa"/>
            <w:tcBorders>
              <w:left w:val="single" w:sz="4" w:space="0" w:color="auto"/>
              <w:right w:val="single" w:sz="4" w:space="0" w:color="auto"/>
            </w:tcBorders>
            <w:shd w:val="clear" w:color="auto" w:fill="auto"/>
          </w:tcPr>
          <w:p w:rsidR="00212EE0" w:rsidRPr="00753209" w:rsidRDefault="00212EE0" w:rsidP="00C3747A">
            <w:pPr>
              <w:pStyle w:val="BodyText"/>
              <w:tabs>
                <w:tab w:val="left" w:pos="720"/>
              </w:tabs>
              <w:ind w:right="-108" w:hanging="108"/>
              <w:jc w:val="center"/>
              <w:rPr>
                <w:sz w:val="20"/>
              </w:rPr>
            </w:pPr>
            <w:r w:rsidRPr="00753209">
              <w:rPr>
                <w:sz w:val="20"/>
              </w:rPr>
              <w:t>3,227</w:t>
            </w:r>
          </w:p>
        </w:tc>
        <w:tc>
          <w:tcPr>
            <w:tcW w:w="1890" w:type="dxa"/>
            <w:tcBorders>
              <w:left w:val="single" w:sz="4" w:space="0" w:color="auto"/>
              <w:right w:val="single" w:sz="4" w:space="0" w:color="auto"/>
            </w:tcBorders>
            <w:shd w:val="clear" w:color="auto" w:fill="auto"/>
          </w:tcPr>
          <w:p w:rsidR="00212EE0" w:rsidRPr="00753209" w:rsidRDefault="00212EE0" w:rsidP="00C3747A">
            <w:pPr>
              <w:pStyle w:val="BodyText"/>
              <w:tabs>
                <w:tab w:val="left" w:pos="1152"/>
              </w:tabs>
              <w:jc w:val="center"/>
              <w:rPr>
                <w:sz w:val="20"/>
              </w:rPr>
            </w:pPr>
            <w:r w:rsidRPr="00753209">
              <w:rPr>
                <w:sz w:val="20"/>
              </w:rPr>
              <w:t>4,806</w:t>
            </w:r>
          </w:p>
        </w:tc>
        <w:tc>
          <w:tcPr>
            <w:tcW w:w="1170" w:type="dxa"/>
            <w:tcBorders>
              <w:left w:val="single" w:sz="4" w:space="0" w:color="auto"/>
              <w:right w:val="single" w:sz="4" w:space="0" w:color="auto"/>
            </w:tcBorders>
            <w:shd w:val="clear" w:color="auto" w:fill="auto"/>
          </w:tcPr>
          <w:p w:rsidR="00212EE0" w:rsidRPr="00753209" w:rsidRDefault="00212EE0" w:rsidP="007D35CB">
            <w:pPr>
              <w:pStyle w:val="BodyText"/>
              <w:tabs>
                <w:tab w:val="left" w:pos="720"/>
              </w:tabs>
              <w:ind w:right="-108" w:hanging="108"/>
              <w:jc w:val="center"/>
              <w:rPr>
                <w:sz w:val="20"/>
              </w:rPr>
            </w:pPr>
            <w:r w:rsidRPr="00753209">
              <w:rPr>
                <w:sz w:val="20"/>
              </w:rPr>
              <w:t>3,227</w:t>
            </w:r>
          </w:p>
        </w:tc>
        <w:tc>
          <w:tcPr>
            <w:tcW w:w="1800" w:type="dxa"/>
            <w:tcBorders>
              <w:left w:val="single" w:sz="4" w:space="0" w:color="auto"/>
              <w:right w:val="single" w:sz="4" w:space="0" w:color="auto"/>
            </w:tcBorders>
            <w:shd w:val="clear" w:color="auto" w:fill="auto"/>
          </w:tcPr>
          <w:p w:rsidR="00212EE0" w:rsidRPr="00753209" w:rsidRDefault="00212EE0" w:rsidP="007D35CB">
            <w:pPr>
              <w:pStyle w:val="BodyText"/>
              <w:tabs>
                <w:tab w:val="left" w:pos="1152"/>
              </w:tabs>
              <w:jc w:val="center"/>
              <w:rPr>
                <w:sz w:val="20"/>
              </w:rPr>
            </w:pPr>
            <w:r w:rsidRPr="00753209">
              <w:rPr>
                <w:sz w:val="20"/>
              </w:rPr>
              <w:t>4,806</w:t>
            </w:r>
          </w:p>
        </w:tc>
      </w:tr>
      <w:tr w:rsidR="00212EE0" w:rsidRPr="00222E05" w:rsidTr="00C3747A">
        <w:tc>
          <w:tcPr>
            <w:tcW w:w="2700" w:type="dxa"/>
            <w:tcBorders>
              <w:right w:val="single" w:sz="4" w:space="0" w:color="auto"/>
            </w:tcBorders>
            <w:shd w:val="clear" w:color="auto" w:fill="auto"/>
          </w:tcPr>
          <w:p w:rsidR="00212EE0" w:rsidRPr="00222E05" w:rsidRDefault="00212EE0" w:rsidP="006B460C">
            <w:pPr>
              <w:pStyle w:val="BodyText"/>
              <w:ind w:right="-450"/>
              <w:rPr>
                <w:sz w:val="20"/>
              </w:rPr>
            </w:pPr>
            <w:r>
              <w:rPr>
                <w:sz w:val="20"/>
              </w:rPr>
              <w:t>- Foreign tax</w:t>
            </w:r>
          </w:p>
        </w:tc>
        <w:tc>
          <w:tcPr>
            <w:tcW w:w="1170" w:type="dxa"/>
            <w:tcBorders>
              <w:left w:val="single" w:sz="4" w:space="0" w:color="auto"/>
              <w:right w:val="single" w:sz="4" w:space="0" w:color="auto"/>
            </w:tcBorders>
            <w:shd w:val="clear" w:color="auto" w:fill="auto"/>
          </w:tcPr>
          <w:p w:rsidR="00212EE0" w:rsidRPr="00753209" w:rsidRDefault="00212EE0" w:rsidP="00C3747A">
            <w:pPr>
              <w:pStyle w:val="BodyText"/>
              <w:tabs>
                <w:tab w:val="left" w:pos="700"/>
              </w:tabs>
              <w:ind w:right="-108" w:hanging="108"/>
              <w:jc w:val="center"/>
              <w:rPr>
                <w:sz w:val="20"/>
              </w:rPr>
            </w:pPr>
            <w:r w:rsidRPr="00753209">
              <w:rPr>
                <w:sz w:val="20"/>
              </w:rPr>
              <w:t>7,724</w:t>
            </w:r>
          </w:p>
        </w:tc>
        <w:tc>
          <w:tcPr>
            <w:tcW w:w="1890" w:type="dxa"/>
            <w:tcBorders>
              <w:left w:val="single" w:sz="4" w:space="0" w:color="auto"/>
              <w:right w:val="single" w:sz="4" w:space="0" w:color="auto"/>
            </w:tcBorders>
            <w:shd w:val="clear" w:color="auto" w:fill="auto"/>
          </w:tcPr>
          <w:p w:rsidR="00212EE0" w:rsidRPr="00753209" w:rsidRDefault="00212EE0" w:rsidP="00C3747A">
            <w:pPr>
              <w:pStyle w:val="BodyText"/>
              <w:tabs>
                <w:tab w:val="left" w:pos="1152"/>
              </w:tabs>
              <w:jc w:val="center"/>
              <w:rPr>
                <w:sz w:val="20"/>
              </w:rPr>
            </w:pPr>
            <w:r w:rsidRPr="00753209">
              <w:rPr>
                <w:sz w:val="20"/>
              </w:rPr>
              <w:t>3,836</w:t>
            </w:r>
          </w:p>
        </w:tc>
        <w:tc>
          <w:tcPr>
            <w:tcW w:w="1170" w:type="dxa"/>
            <w:tcBorders>
              <w:left w:val="single" w:sz="4" w:space="0" w:color="auto"/>
              <w:right w:val="single" w:sz="4" w:space="0" w:color="auto"/>
            </w:tcBorders>
            <w:shd w:val="clear" w:color="auto" w:fill="auto"/>
          </w:tcPr>
          <w:p w:rsidR="00212EE0" w:rsidRPr="00753209" w:rsidRDefault="00212EE0" w:rsidP="007D35CB">
            <w:pPr>
              <w:pStyle w:val="BodyText"/>
              <w:tabs>
                <w:tab w:val="left" w:pos="700"/>
              </w:tabs>
              <w:ind w:right="-108" w:hanging="108"/>
              <w:jc w:val="center"/>
              <w:rPr>
                <w:sz w:val="20"/>
              </w:rPr>
            </w:pPr>
            <w:r w:rsidRPr="00753209">
              <w:rPr>
                <w:sz w:val="20"/>
              </w:rPr>
              <w:t>7,724</w:t>
            </w:r>
          </w:p>
        </w:tc>
        <w:tc>
          <w:tcPr>
            <w:tcW w:w="1800" w:type="dxa"/>
            <w:tcBorders>
              <w:left w:val="single" w:sz="4" w:space="0" w:color="auto"/>
              <w:right w:val="single" w:sz="4" w:space="0" w:color="auto"/>
            </w:tcBorders>
            <w:shd w:val="clear" w:color="auto" w:fill="auto"/>
          </w:tcPr>
          <w:p w:rsidR="00212EE0" w:rsidRPr="00753209" w:rsidRDefault="00212EE0" w:rsidP="007D35CB">
            <w:pPr>
              <w:pStyle w:val="BodyText"/>
              <w:tabs>
                <w:tab w:val="left" w:pos="1152"/>
              </w:tabs>
              <w:jc w:val="center"/>
              <w:rPr>
                <w:sz w:val="20"/>
              </w:rPr>
            </w:pPr>
            <w:r w:rsidRPr="00753209">
              <w:rPr>
                <w:sz w:val="20"/>
              </w:rPr>
              <w:t>3,836</w:t>
            </w:r>
          </w:p>
        </w:tc>
      </w:tr>
      <w:tr w:rsidR="00212EE0" w:rsidRPr="00222E05" w:rsidTr="00C3747A">
        <w:tc>
          <w:tcPr>
            <w:tcW w:w="2700" w:type="dxa"/>
            <w:tcBorders>
              <w:right w:val="single" w:sz="4" w:space="0" w:color="auto"/>
            </w:tcBorders>
            <w:shd w:val="clear" w:color="auto" w:fill="auto"/>
          </w:tcPr>
          <w:p w:rsidR="00212EE0" w:rsidRDefault="00212EE0" w:rsidP="003D05A6">
            <w:pPr>
              <w:pStyle w:val="BodyText"/>
              <w:ind w:right="-450"/>
              <w:jc w:val="left"/>
              <w:rPr>
                <w:sz w:val="20"/>
              </w:rPr>
            </w:pPr>
            <w:r>
              <w:rPr>
                <w:sz w:val="20"/>
              </w:rPr>
              <w:t>- Under provision in prior</w:t>
            </w:r>
          </w:p>
          <w:p w:rsidR="00212EE0" w:rsidRPr="00222E05" w:rsidRDefault="00212EE0" w:rsidP="006B460C">
            <w:pPr>
              <w:pStyle w:val="BodyText"/>
              <w:ind w:left="45" w:right="-450"/>
              <w:jc w:val="left"/>
              <w:rPr>
                <w:sz w:val="20"/>
              </w:rPr>
            </w:pPr>
            <w:r>
              <w:rPr>
                <w:sz w:val="20"/>
              </w:rPr>
              <w:t xml:space="preserve">   years      </w:t>
            </w:r>
          </w:p>
        </w:tc>
        <w:tc>
          <w:tcPr>
            <w:tcW w:w="1170" w:type="dxa"/>
            <w:tcBorders>
              <w:left w:val="single" w:sz="4" w:space="0" w:color="auto"/>
              <w:bottom w:val="single" w:sz="8" w:space="0" w:color="auto"/>
              <w:right w:val="single" w:sz="4" w:space="0" w:color="auto"/>
            </w:tcBorders>
            <w:shd w:val="clear" w:color="auto" w:fill="auto"/>
          </w:tcPr>
          <w:p w:rsidR="00212EE0" w:rsidRPr="00753209" w:rsidRDefault="00212EE0" w:rsidP="00C3747A">
            <w:pPr>
              <w:pStyle w:val="BodyText"/>
              <w:ind w:right="-108" w:hanging="108"/>
              <w:jc w:val="center"/>
              <w:rPr>
                <w:sz w:val="20"/>
              </w:rPr>
            </w:pPr>
          </w:p>
          <w:p w:rsidR="00212EE0" w:rsidRPr="00753209" w:rsidRDefault="00212EE0" w:rsidP="00C3747A">
            <w:pPr>
              <w:pStyle w:val="BodyText"/>
              <w:tabs>
                <w:tab w:val="left" w:pos="702"/>
              </w:tabs>
              <w:ind w:right="-108" w:hanging="108"/>
              <w:jc w:val="center"/>
              <w:rPr>
                <w:sz w:val="20"/>
              </w:rPr>
            </w:pPr>
            <w:r w:rsidRPr="00753209">
              <w:rPr>
                <w:sz w:val="20"/>
              </w:rPr>
              <w:t>-</w:t>
            </w:r>
          </w:p>
        </w:tc>
        <w:tc>
          <w:tcPr>
            <w:tcW w:w="1890" w:type="dxa"/>
            <w:tcBorders>
              <w:left w:val="single" w:sz="4" w:space="0" w:color="auto"/>
              <w:bottom w:val="single" w:sz="8" w:space="0" w:color="auto"/>
              <w:right w:val="single" w:sz="4" w:space="0" w:color="auto"/>
            </w:tcBorders>
            <w:shd w:val="clear" w:color="auto" w:fill="auto"/>
          </w:tcPr>
          <w:p w:rsidR="00212EE0" w:rsidRPr="00753209" w:rsidRDefault="00212EE0" w:rsidP="00C3747A">
            <w:pPr>
              <w:pStyle w:val="BodyText"/>
              <w:tabs>
                <w:tab w:val="left" w:pos="522"/>
              </w:tabs>
              <w:jc w:val="center"/>
              <w:rPr>
                <w:sz w:val="20"/>
              </w:rPr>
            </w:pPr>
          </w:p>
          <w:p w:rsidR="00212EE0" w:rsidRPr="00753209" w:rsidRDefault="00753209" w:rsidP="00753209">
            <w:pPr>
              <w:pStyle w:val="BodyText"/>
              <w:tabs>
                <w:tab w:val="left" w:pos="1152"/>
              </w:tabs>
              <w:jc w:val="center"/>
              <w:rPr>
                <w:sz w:val="20"/>
              </w:rPr>
            </w:pPr>
            <w:r>
              <w:rPr>
                <w:sz w:val="20"/>
              </w:rPr>
              <w:t xml:space="preserve">    </w:t>
            </w:r>
            <w:r w:rsidR="00212EE0" w:rsidRPr="00753209">
              <w:rPr>
                <w:sz w:val="20"/>
              </w:rPr>
              <w:t xml:space="preserve">  (1)</w:t>
            </w:r>
          </w:p>
        </w:tc>
        <w:tc>
          <w:tcPr>
            <w:tcW w:w="1170" w:type="dxa"/>
            <w:tcBorders>
              <w:left w:val="single" w:sz="4" w:space="0" w:color="auto"/>
              <w:bottom w:val="single" w:sz="8" w:space="0" w:color="auto"/>
              <w:right w:val="single" w:sz="4" w:space="0" w:color="auto"/>
            </w:tcBorders>
            <w:shd w:val="clear" w:color="auto" w:fill="auto"/>
          </w:tcPr>
          <w:p w:rsidR="00212EE0" w:rsidRPr="00753209" w:rsidRDefault="00212EE0" w:rsidP="007D35CB">
            <w:pPr>
              <w:pStyle w:val="BodyText"/>
              <w:ind w:right="-108" w:hanging="108"/>
              <w:jc w:val="center"/>
              <w:rPr>
                <w:sz w:val="20"/>
              </w:rPr>
            </w:pPr>
          </w:p>
          <w:p w:rsidR="00212EE0" w:rsidRPr="00753209" w:rsidRDefault="00212EE0" w:rsidP="007D35CB">
            <w:pPr>
              <w:pStyle w:val="BodyText"/>
              <w:tabs>
                <w:tab w:val="left" w:pos="702"/>
              </w:tabs>
              <w:ind w:right="-108" w:hanging="108"/>
              <w:jc w:val="center"/>
              <w:rPr>
                <w:sz w:val="20"/>
              </w:rPr>
            </w:pPr>
            <w:r w:rsidRPr="00753209">
              <w:rPr>
                <w:sz w:val="20"/>
              </w:rPr>
              <w:t>-</w:t>
            </w:r>
          </w:p>
        </w:tc>
        <w:tc>
          <w:tcPr>
            <w:tcW w:w="1800" w:type="dxa"/>
            <w:tcBorders>
              <w:left w:val="single" w:sz="4" w:space="0" w:color="auto"/>
              <w:bottom w:val="single" w:sz="8" w:space="0" w:color="auto"/>
              <w:right w:val="single" w:sz="4" w:space="0" w:color="auto"/>
            </w:tcBorders>
            <w:shd w:val="clear" w:color="auto" w:fill="auto"/>
          </w:tcPr>
          <w:p w:rsidR="00212EE0" w:rsidRPr="00753209" w:rsidRDefault="00212EE0" w:rsidP="007D35CB">
            <w:pPr>
              <w:pStyle w:val="BodyText"/>
              <w:tabs>
                <w:tab w:val="left" w:pos="522"/>
              </w:tabs>
              <w:jc w:val="center"/>
              <w:rPr>
                <w:sz w:val="20"/>
              </w:rPr>
            </w:pPr>
          </w:p>
          <w:p w:rsidR="00212EE0" w:rsidRPr="00753209" w:rsidRDefault="00753209" w:rsidP="007D35CB">
            <w:pPr>
              <w:pStyle w:val="BodyText"/>
              <w:tabs>
                <w:tab w:val="left" w:pos="1152"/>
              </w:tabs>
              <w:jc w:val="center"/>
              <w:rPr>
                <w:sz w:val="20"/>
              </w:rPr>
            </w:pPr>
            <w:r>
              <w:rPr>
                <w:sz w:val="20"/>
              </w:rPr>
              <w:t xml:space="preserve">   </w:t>
            </w:r>
            <w:r w:rsidR="00212EE0" w:rsidRPr="00753209">
              <w:rPr>
                <w:sz w:val="20"/>
              </w:rPr>
              <w:t xml:space="preserve">   (1)</w:t>
            </w:r>
          </w:p>
        </w:tc>
      </w:tr>
      <w:tr w:rsidR="00212EE0" w:rsidRPr="00222E05" w:rsidTr="00C3747A">
        <w:tc>
          <w:tcPr>
            <w:tcW w:w="2700" w:type="dxa"/>
            <w:tcBorders>
              <w:right w:val="single" w:sz="4" w:space="0" w:color="auto"/>
            </w:tcBorders>
            <w:shd w:val="clear" w:color="auto" w:fill="auto"/>
          </w:tcPr>
          <w:p w:rsidR="00212EE0" w:rsidRPr="00222E05" w:rsidRDefault="00212EE0" w:rsidP="006B460C">
            <w:pPr>
              <w:pStyle w:val="BodyText"/>
              <w:ind w:right="-450"/>
              <w:rPr>
                <w:sz w:val="20"/>
              </w:rPr>
            </w:pPr>
          </w:p>
        </w:tc>
        <w:tc>
          <w:tcPr>
            <w:tcW w:w="1170" w:type="dxa"/>
            <w:tcBorders>
              <w:top w:val="single" w:sz="8" w:space="0" w:color="auto"/>
              <w:left w:val="single" w:sz="4" w:space="0" w:color="auto"/>
              <w:right w:val="single" w:sz="4" w:space="0" w:color="auto"/>
            </w:tcBorders>
            <w:shd w:val="clear" w:color="auto" w:fill="auto"/>
          </w:tcPr>
          <w:p w:rsidR="00212EE0" w:rsidRPr="00753209" w:rsidRDefault="00212EE0" w:rsidP="00C3747A">
            <w:pPr>
              <w:pStyle w:val="BodyText"/>
              <w:tabs>
                <w:tab w:val="left" w:pos="702"/>
              </w:tabs>
              <w:ind w:right="-108" w:hanging="108"/>
              <w:jc w:val="center"/>
              <w:rPr>
                <w:sz w:val="20"/>
              </w:rPr>
            </w:pPr>
            <w:r w:rsidRPr="00753209">
              <w:rPr>
                <w:sz w:val="20"/>
              </w:rPr>
              <w:t>10,951</w:t>
            </w:r>
          </w:p>
        </w:tc>
        <w:tc>
          <w:tcPr>
            <w:tcW w:w="1890" w:type="dxa"/>
            <w:tcBorders>
              <w:top w:val="single" w:sz="8" w:space="0" w:color="auto"/>
              <w:left w:val="single" w:sz="4" w:space="0" w:color="auto"/>
              <w:right w:val="single" w:sz="4" w:space="0" w:color="auto"/>
            </w:tcBorders>
            <w:shd w:val="clear" w:color="auto" w:fill="auto"/>
          </w:tcPr>
          <w:p w:rsidR="00212EE0" w:rsidRPr="00753209" w:rsidRDefault="00212EE0" w:rsidP="00C3747A">
            <w:pPr>
              <w:pStyle w:val="BodyText"/>
              <w:tabs>
                <w:tab w:val="left" w:pos="1152"/>
              </w:tabs>
              <w:jc w:val="center"/>
              <w:rPr>
                <w:sz w:val="20"/>
              </w:rPr>
            </w:pPr>
            <w:r w:rsidRPr="00753209">
              <w:rPr>
                <w:sz w:val="20"/>
              </w:rPr>
              <w:t>8,641</w:t>
            </w:r>
          </w:p>
        </w:tc>
        <w:tc>
          <w:tcPr>
            <w:tcW w:w="1170" w:type="dxa"/>
            <w:tcBorders>
              <w:top w:val="single" w:sz="8" w:space="0" w:color="auto"/>
              <w:left w:val="single" w:sz="4" w:space="0" w:color="auto"/>
              <w:right w:val="single" w:sz="4" w:space="0" w:color="auto"/>
            </w:tcBorders>
            <w:shd w:val="clear" w:color="auto" w:fill="auto"/>
          </w:tcPr>
          <w:p w:rsidR="00212EE0" w:rsidRPr="00753209" w:rsidRDefault="00212EE0" w:rsidP="007D35CB">
            <w:pPr>
              <w:pStyle w:val="BodyText"/>
              <w:tabs>
                <w:tab w:val="left" w:pos="702"/>
              </w:tabs>
              <w:ind w:right="-108" w:hanging="108"/>
              <w:jc w:val="center"/>
              <w:rPr>
                <w:sz w:val="20"/>
              </w:rPr>
            </w:pPr>
            <w:r w:rsidRPr="00753209">
              <w:rPr>
                <w:sz w:val="20"/>
              </w:rPr>
              <w:t>10,951</w:t>
            </w:r>
          </w:p>
        </w:tc>
        <w:tc>
          <w:tcPr>
            <w:tcW w:w="1800" w:type="dxa"/>
            <w:tcBorders>
              <w:top w:val="single" w:sz="8" w:space="0" w:color="auto"/>
              <w:left w:val="single" w:sz="4" w:space="0" w:color="auto"/>
              <w:right w:val="single" w:sz="4" w:space="0" w:color="auto"/>
            </w:tcBorders>
            <w:shd w:val="clear" w:color="auto" w:fill="auto"/>
          </w:tcPr>
          <w:p w:rsidR="00212EE0" w:rsidRPr="00753209" w:rsidRDefault="00212EE0" w:rsidP="007D35CB">
            <w:pPr>
              <w:pStyle w:val="BodyText"/>
              <w:tabs>
                <w:tab w:val="left" w:pos="1152"/>
              </w:tabs>
              <w:jc w:val="center"/>
              <w:rPr>
                <w:sz w:val="20"/>
              </w:rPr>
            </w:pPr>
            <w:r w:rsidRPr="00753209">
              <w:rPr>
                <w:sz w:val="20"/>
              </w:rPr>
              <w:t>8,641</w:t>
            </w:r>
          </w:p>
        </w:tc>
      </w:tr>
      <w:tr w:rsidR="00212EE0" w:rsidRPr="00222E05" w:rsidTr="00C3747A">
        <w:tc>
          <w:tcPr>
            <w:tcW w:w="2700" w:type="dxa"/>
            <w:tcBorders>
              <w:right w:val="single" w:sz="4" w:space="0" w:color="auto"/>
            </w:tcBorders>
            <w:shd w:val="clear" w:color="auto" w:fill="auto"/>
          </w:tcPr>
          <w:p w:rsidR="00212EE0" w:rsidRPr="00222E05" w:rsidRDefault="00212EE0" w:rsidP="006B460C">
            <w:pPr>
              <w:pStyle w:val="BodyText"/>
              <w:ind w:right="-450"/>
              <w:rPr>
                <w:sz w:val="20"/>
              </w:rPr>
            </w:pPr>
            <w:r>
              <w:rPr>
                <w:sz w:val="20"/>
              </w:rPr>
              <w:t>Deferred taxation</w:t>
            </w:r>
          </w:p>
        </w:tc>
        <w:tc>
          <w:tcPr>
            <w:tcW w:w="1170" w:type="dxa"/>
            <w:tcBorders>
              <w:left w:val="single" w:sz="4" w:space="0" w:color="auto"/>
              <w:bottom w:val="single" w:sz="8" w:space="0" w:color="auto"/>
              <w:right w:val="single" w:sz="4" w:space="0" w:color="auto"/>
            </w:tcBorders>
            <w:shd w:val="clear" w:color="auto" w:fill="auto"/>
          </w:tcPr>
          <w:p w:rsidR="00212EE0" w:rsidRPr="00753209" w:rsidRDefault="00753209" w:rsidP="00C3747A">
            <w:pPr>
              <w:pStyle w:val="BodyText"/>
              <w:tabs>
                <w:tab w:val="left" w:pos="702"/>
              </w:tabs>
              <w:ind w:right="-108" w:hanging="108"/>
              <w:jc w:val="center"/>
              <w:rPr>
                <w:sz w:val="20"/>
              </w:rPr>
            </w:pPr>
            <w:r>
              <w:rPr>
                <w:sz w:val="20"/>
              </w:rPr>
              <w:t xml:space="preserve">   </w:t>
            </w:r>
            <w:r w:rsidR="00212EE0" w:rsidRPr="00753209">
              <w:rPr>
                <w:sz w:val="20"/>
              </w:rPr>
              <w:t xml:space="preserve"> (163)</w:t>
            </w:r>
          </w:p>
        </w:tc>
        <w:tc>
          <w:tcPr>
            <w:tcW w:w="1890" w:type="dxa"/>
            <w:tcBorders>
              <w:left w:val="single" w:sz="4" w:space="0" w:color="auto"/>
              <w:bottom w:val="single" w:sz="8" w:space="0" w:color="auto"/>
              <w:right w:val="single" w:sz="4" w:space="0" w:color="auto"/>
            </w:tcBorders>
            <w:shd w:val="clear" w:color="auto" w:fill="auto"/>
          </w:tcPr>
          <w:p w:rsidR="00212EE0" w:rsidRPr="00753209" w:rsidRDefault="00753209" w:rsidP="00C3747A">
            <w:pPr>
              <w:pStyle w:val="BodyText"/>
              <w:tabs>
                <w:tab w:val="left" w:pos="1152"/>
              </w:tabs>
              <w:jc w:val="center"/>
              <w:rPr>
                <w:sz w:val="20"/>
              </w:rPr>
            </w:pPr>
            <w:r>
              <w:rPr>
                <w:sz w:val="20"/>
              </w:rPr>
              <w:t xml:space="preserve">   </w:t>
            </w:r>
            <w:r w:rsidR="00212EE0" w:rsidRPr="00753209">
              <w:rPr>
                <w:sz w:val="20"/>
              </w:rPr>
              <w:t>700</w:t>
            </w:r>
          </w:p>
        </w:tc>
        <w:tc>
          <w:tcPr>
            <w:tcW w:w="1170" w:type="dxa"/>
            <w:tcBorders>
              <w:left w:val="single" w:sz="4" w:space="0" w:color="auto"/>
              <w:bottom w:val="single" w:sz="8" w:space="0" w:color="auto"/>
              <w:right w:val="single" w:sz="4" w:space="0" w:color="auto"/>
            </w:tcBorders>
            <w:shd w:val="clear" w:color="auto" w:fill="auto"/>
          </w:tcPr>
          <w:p w:rsidR="00212EE0" w:rsidRPr="00753209" w:rsidRDefault="00753209" w:rsidP="007D35CB">
            <w:pPr>
              <w:pStyle w:val="BodyText"/>
              <w:tabs>
                <w:tab w:val="left" w:pos="702"/>
              </w:tabs>
              <w:ind w:right="-108" w:hanging="108"/>
              <w:jc w:val="center"/>
              <w:rPr>
                <w:sz w:val="20"/>
              </w:rPr>
            </w:pPr>
            <w:r>
              <w:rPr>
                <w:sz w:val="20"/>
              </w:rPr>
              <w:t xml:space="preserve">   </w:t>
            </w:r>
            <w:r w:rsidR="00212EE0" w:rsidRPr="00753209">
              <w:rPr>
                <w:sz w:val="20"/>
              </w:rPr>
              <w:t xml:space="preserve"> (163)</w:t>
            </w:r>
          </w:p>
        </w:tc>
        <w:tc>
          <w:tcPr>
            <w:tcW w:w="1800" w:type="dxa"/>
            <w:tcBorders>
              <w:left w:val="single" w:sz="4" w:space="0" w:color="auto"/>
              <w:bottom w:val="single" w:sz="8" w:space="0" w:color="auto"/>
              <w:right w:val="single" w:sz="4" w:space="0" w:color="auto"/>
            </w:tcBorders>
            <w:shd w:val="clear" w:color="auto" w:fill="auto"/>
          </w:tcPr>
          <w:p w:rsidR="00212EE0" w:rsidRPr="00753209" w:rsidRDefault="00753209" w:rsidP="007D35CB">
            <w:pPr>
              <w:pStyle w:val="BodyText"/>
              <w:tabs>
                <w:tab w:val="left" w:pos="1152"/>
              </w:tabs>
              <w:jc w:val="center"/>
              <w:rPr>
                <w:sz w:val="20"/>
              </w:rPr>
            </w:pPr>
            <w:r>
              <w:rPr>
                <w:sz w:val="20"/>
              </w:rPr>
              <w:t xml:space="preserve">   </w:t>
            </w:r>
            <w:r w:rsidR="00212EE0" w:rsidRPr="00753209">
              <w:rPr>
                <w:sz w:val="20"/>
              </w:rPr>
              <w:t>700</w:t>
            </w:r>
          </w:p>
        </w:tc>
      </w:tr>
      <w:tr w:rsidR="00212EE0" w:rsidRPr="00222E05" w:rsidTr="00C3747A">
        <w:tc>
          <w:tcPr>
            <w:tcW w:w="2700" w:type="dxa"/>
            <w:tcBorders>
              <w:right w:val="single" w:sz="4" w:space="0" w:color="auto"/>
            </w:tcBorders>
            <w:shd w:val="clear" w:color="auto" w:fill="auto"/>
          </w:tcPr>
          <w:p w:rsidR="00212EE0" w:rsidRPr="00222E05" w:rsidRDefault="00212EE0" w:rsidP="00491580">
            <w:pPr>
              <w:pStyle w:val="BodyText"/>
              <w:ind w:right="-450" w:hanging="1800"/>
              <w:rPr>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212EE0" w:rsidRPr="00753209" w:rsidRDefault="00212EE0" w:rsidP="00C3747A">
            <w:pPr>
              <w:pStyle w:val="BodyText"/>
              <w:tabs>
                <w:tab w:val="left" w:pos="702"/>
              </w:tabs>
              <w:ind w:right="-108" w:hanging="108"/>
              <w:jc w:val="center"/>
              <w:rPr>
                <w:sz w:val="20"/>
              </w:rPr>
            </w:pPr>
            <w:r w:rsidRPr="00753209">
              <w:rPr>
                <w:sz w:val="20"/>
              </w:rPr>
              <w:t>10,788</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212EE0" w:rsidRPr="00753209" w:rsidRDefault="00212EE0" w:rsidP="00C3747A">
            <w:pPr>
              <w:pStyle w:val="BodyText"/>
              <w:jc w:val="center"/>
              <w:rPr>
                <w:sz w:val="20"/>
              </w:rPr>
            </w:pPr>
            <w:r w:rsidRPr="00753209">
              <w:rPr>
                <w:sz w:val="20"/>
              </w:rPr>
              <w:t>7,905</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212EE0" w:rsidRPr="00753209" w:rsidRDefault="00212EE0" w:rsidP="007D35CB">
            <w:pPr>
              <w:pStyle w:val="BodyText"/>
              <w:tabs>
                <w:tab w:val="left" w:pos="702"/>
              </w:tabs>
              <w:ind w:right="-108" w:hanging="108"/>
              <w:jc w:val="center"/>
              <w:rPr>
                <w:sz w:val="20"/>
              </w:rPr>
            </w:pPr>
            <w:r w:rsidRPr="00753209">
              <w:rPr>
                <w:sz w:val="20"/>
              </w:rPr>
              <w:t>10,788</w:t>
            </w:r>
          </w:p>
        </w:tc>
        <w:tc>
          <w:tcPr>
            <w:tcW w:w="1800" w:type="dxa"/>
            <w:tcBorders>
              <w:top w:val="single" w:sz="8" w:space="0" w:color="auto"/>
              <w:left w:val="single" w:sz="4" w:space="0" w:color="auto"/>
              <w:bottom w:val="single" w:sz="12" w:space="0" w:color="auto"/>
              <w:right w:val="single" w:sz="4" w:space="0" w:color="auto"/>
            </w:tcBorders>
            <w:shd w:val="clear" w:color="auto" w:fill="auto"/>
          </w:tcPr>
          <w:p w:rsidR="00212EE0" w:rsidRPr="00753209" w:rsidRDefault="00212EE0" w:rsidP="007D35CB">
            <w:pPr>
              <w:pStyle w:val="BodyText"/>
              <w:jc w:val="center"/>
              <w:rPr>
                <w:sz w:val="20"/>
              </w:rPr>
            </w:pPr>
            <w:r w:rsidRPr="00753209">
              <w:rPr>
                <w:sz w:val="20"/>
              </w:rPr>
              <w:t>7,905</w:t>
            </w:r>
          </w:p>
        </w:tc>
      </w:tr>
    </w:tbl>
    <w:p w:rsidR="007233FD" w:rsidRDefault="007233FD" w:rsidP="00491580">
      <w:pPr>
        <w:pStyle w:val="BodyText"/>
        <w:tabs>
          <w:tab w:val="left" w:pos="720"/>
        </w:tabs>
        <w:ind w:left="720" w:right="-450" w:hanging="1800"/>
        <w:rPr>
          <w:b/>
          <w:sz w:val="20"/>
        </w:rPr>
      </w:pPr>
    </w:p>
    <w:p w:rsidR="007233FD" w:rsidRDefault="007233FD" w:rsidP="00491580">
      <w:pPr>
        <w:pStyle w:val="BodyText"/>
        <w:tabs>
          <w:tab w:val="left" w:pos="720"/>
        </w:tabs>
        <w:ind w:left="720" w:right="-450" w:hanging="1800"/>
        <w:rPr>
          <w:b/>
          <w:sz w:val="20"/>
        </w:rPr>
      </w:pPr>
    </w:p>
    <w:p w:rsidR="00F41BEB" w:rsidRDefault="00A97E60" w:rsidP="00D316FE">
      <w:pPr>
        <w:pStyle w:val="BodyText"/>
        <w:tabs>
          <w:tab w:val="left" w:pos="720"/>
        </w:tabs>
        <w:ind w:left="720" w:right="-90" w:hanging="1800"/>
        <w:rPr>
          <w:sz w:val="20"/>
        </w:rPr>
      </w:pPr>
      <w:r>
        <w:rPr>
          <w:sz w:val="20"/>
        </w:rPr>
        <w:tab/>
      </w:r>
      <w:r w:rsidR="00352514" w:rsidRPr="00C5136E">
        <w:rPr>
          <w:sz w:val="20"/>
        </w:rPr>
        <w:t>Excluding the non-recurring items, t</w:t>
      </w:r>
      <w:r w:rsidR="00013DC4" w:rsidRPr="00C5136E">
        <w:rPr>
          <w:sz w:val="20"/>
        </w:rPr>
        <w:t>he Group</w:t>
      </w:r>
      <w:r w:rsidR="00390FB6" w:rsidRPr="00C5136E">
        <w:rPr>
          <w:sz w:val="20"/>
        </w:rPr>
        <w:t>’s effective</w:t>
      </w:r>
      <w:r w:rsidR="005112AA" w:rsidRPr="00C5136E">
        <w:rPr>
          <w:sz w:val="20"/>
        </w:rPr>
        <w:t xml:space="preserve"> tax rate </w:t>
      </w:r>
      <w:r w:rsidR="00390FB6" w:rsidRPr="00C5136E">
        <w:rPr>
          <w:sz w:val="20"/>
        </w:rPr>
        <w:t>was high</w:t>
      </w:r>
      <w:r w:rsidR="0089619D" w:rsidRPr="00C5136E">
        <w:rPr>
          <w:sz w:val="20"/>
        </w:rPr>
        <w:t xml:space="preserve">er than the statutory rates </w:t>
      </w:r>
      <w:r w:rsidR="0025792B" w:rsidRPr="00C5136E">
        <w:rPr>
          <w:sz w:val="20"/>
        </w:rPr>
        <w:t xml:space="preserve">as the </w:t>
      </w:r>
      <w:r w:rsidR="005112AA" w:rsidRPr="00C5136E">
        <w:rPr>
          <w:sz w:val="20"/>
        </w:rPr>
        <w:t xml:space="preserve">tax losses </w:t>
      </w:r>
      <w:r w:rsidR="00390FB6" w:rsidRPr="00C5136E">
        <w:rPr>
          <w:sz w:val="20"/>
        </w:rPr>
        <w:t>suffered by</w:t>
      </w:r>
      <w:r w:rsidR="005112AA" w:rsidRPr="00C5136E">
        <w:rPr>
          <w:sz w:val="20"/>
        </w:rPr>
        <w:t xml:space="preserve"> </w:t>
      </w:r>
      <w:r w:rsidR="00B67074" w:rsidRPr="00C5136E">
        <w:rPr>
          <w:sz w:val="20"/>
        </w:rPr>
        <w:t>certain</w:t>
      </w:r>
      <w:r w:rsidR="005112AA" w:rsidRPr="00C5136E">
        <w:rPr>
          <w:sz w:val="20"/>
        </w:rPr>
        <w:t xml:space="preserve"> subsidiaries</w:t>
      </w:r>
      <w:r w:rsidR="0025792B" w:rsidRPr="00C5136E">
        <w:rPr>
          <w:sz w:val="20"/>
        </w:rPr>
        <w:t xml:space="preserve"> were not available as group relief.</w:t>
      </w:r>
    </w:p>
    <w:p w:rsidR="00A72CAE" w:rsidRPr="00ED0C92" w:rsidRDefault="00A72CAE" w:rsidP="00491580">
      <w:pPr>
        <w:pStyle w:val="BodyText"/>
        <w:tabs>
          <w:tab w:val="left" w:pos="720"/>
        </w:tabs>
        <w:ind w:left="720" w:right="-450" w:hanging="1800"/>
        <w:rPr>
          <w:b/>
          <w:sz w:val="20"/>
        </w:rPr>
      </w:pPr>
    </w:p>
    <w:p w:rsidR="00BF6486" w:rsidRDefault="00BF6486" w:rsidP="00491580">
      <w:pPr>
        <w:pStyle w:val="BodyText"/>
        <w:tabs>
          <w:tab w:val="left" w:pos="720"/>
        </w:tabs>
        <w:ind w:left="720" w:right="-450" w:hanging="1800"/>
        <w:rPr>
          <w:sz w:val="20"/>
        </w:rPr>
      </w:pPr>
    </w:p>
    <w:p w:rsidR="0059386B" w:rsidRDefault="0059386B" w:rsidP="006B460C">
      <w:pPr>
        <w:pStyle w:val="BodyText"/>
        <w:tabs>
          <w:tab w:val="left" w:pos="720"/>
        </w:tabs>
        <w:ind w:left="720" w:right="-450" w:hanging="720"/>
        <w:rPr>
          <w:b/>
          <w:sz w:val="20"/>
        </w:rPr>
      </w:pPr>
      <w:r>
        <w:rPr>
          <w:sz w:val="20"/>
        </w:rPr>
        <w:t>B6</w:t>
      </w:r>
      <w:r>
        <w:rPr>
          <w:sz w:val="20"/>
        </w:rPr>
        <w:tab/>
      </w:r>
      <w:r>
        <w:rPr>
          <w:b/>
          <w:sz w:val="20"/>
        </w:rPr>
        <w:t>Profits</w:t>
      </w:r>
      <w:proofErr w:type="gramStart"/>
      <w:r w:rsidR="0020518C">
        <w:rPr>
          <w:b/>
          <w:sz w:val="20"/>
        </w:rPr>
        <w:t>/(</w:t>
      </w:r>
      <w:proofErr w:type="gramEnd"/>
      <w:r w:rsidR="0020518C">
        <w:rPr>
          <w:b/>
          <w:sz w:val="20"/>
        </w:rPr>
        <w:t>losses)</w:t>
      </w:r>
      <w:r>
        <w:rPr>
          <w:b/>
          <w:sz w:val="20"/>
        </w:rPr>
        <w:t xml:space="preserve"> on sale of </w:t>
      </w:r>
      <w:r w:rsidR="008E1D3F">
        <w:rPr>
          <w:b/>
          <w:sz w:val="20"/>
        </w:rPr>
        <w:t xml:space="preserve">unquoted </w:t>
      </w:r>
      <w:r>
        <w:rPr>
          <w:b/>
          <w:sz w:val="20"/>
        </w:rPr>
        <w:t xml:space="preserve">investment </w:t>
      </w:r>
      <w:r w:rsidR="0020518C">
        <w:rPr>
          <w:b/>
          <w:sz w:val="20"/>
        </w:rPr>
        <w:t>a</w:t>
      </w:r>
      <w:r>
        <w:rPr>
          <w:b/>
          <w:sz w:val="20"/>
        </w:rPr>
        <w:t>nd properties</w:t>
      </w:r>
    </w:p>
    <w:p w:rsidR="00B83EBB" w:rsidRDefault="00B83EBB" w:rsidP="00491580">
      <w:pPr>
        <w:pStyle w:val="BodyText"/>
        <w:tabs>
          <w:tab w:val="left" w:pos="720"/>
        </w:tabs>
        <w:ind w:left="720" w:right="-450" w:hanging="1800"/>
        <w:rPr>
          <w:b/>
          <w:sz w:val="20"/>
        </w:rPr>
      </w:pPr>
    </w:p>
    <w:p w:rsidR="00D63649" w:rsidRDefault="0059386B" w:rsidP="00730038">
      <w:pPr>
        <w:pStyle w:val="BodyText"/>
        <w:tabs>
          <w:tab w:val="left" w:pos="720"/>
        </w:tabs>
        <w:ind w:left="720" w:right="-90" w:hanging="1800"/>
        <w:rPr>
          <w:sz w:val="20"/>
        </w:rPr>
      </w:pPr>
      <w:r>
        <w:rPr>
          <w:sz w:val="20"/>
        </w:rPr>
        <w:tab/>
      </w:r>
      <w:r w:rsidR="00546DB2">
        <w:rPr>
          <w:sz w:val="20"/>
        </w:rPr>
        <w:t>There were no sale</w:t>
      </w:r>
      <w:r w:rsidR="0023268C">
        <w:rPr>
          <w:sz w:val="20"/>
        </w:rPr>
        <w:t>s</w:t>
      </w:r>
      <w:r w:rsidR="00546DB2">
        <w:rPr>
          <w:sz w:val="20"/>
        </w:rPr>
        <w:t xml:space="preserve"> of </w:t>
      </w:r>
      <w:r w:rsidR="008E1D3F">
        <w:rPr>
          <w:sz w:val="20"/>
        </w:rPr>
        <w:t>unquoted investment</w:t>
      </w:r>
      <w:r w:rsidR="00546DB2">
        <w:rPr>
          <w:sz w:val="20"/>
        </w:rPr>
        <w:t xml:space="preserve"> or properties during the financial </w:t>
      </w:r>
      <w:r w:rsidR="006F56FC">
        <w:rPr>
          <w:sz w:val="20"/>
        </w:rPr>
        <w:t>quarter</w:t>
      </w:r>
      <w:r w:rsidR="00F512D5">
        <w:rPr>
          <w:sz w:val="20"/>
        </w:rPr>
        <w:t xml:space="preserve"> under review</w:t>
      </w:r>
      <w:r w:rsidR="00730038">
        <w:rPr>
          <w:sz w:val="20"/>
        </w:rPr>
        <w:t>.</w:t>
      </w:r>
      <w:r w:rsidR="00D316FE">
        <w:rPr>
          <w:sz w:val="20"/>
        </w:rPr>
        <w:t xml:space="preserve"> </w:t>
      </w:r>
    </w:p>
    <w:p w:rsidR="00730038" w:rsidRDefault="00730038" w:rsidP="00730038">
      <w:pPr>
        <w:pStyle w:val="BodyText"/>
        <w:tabs>
          <w:tab w:val="left" w:pos="720"/>
        </w:tabs>
        <w:ind w:left="720" w:right="-90" w:hanging="1800"/>
        <w:rPr>
          <w:sz w:val="20"/>
          <w:highlight w:val="yellow"/>
        </w:rPr>
      </w:pPr>
    </w:p>
    <w:p w:rsidR="00D63649" w:rsidRDefault="00D63649" w:rsidP="00491580">
      <w:pPr>
        <w:pStyle w:val="BodyText"/>
        <w:tabs>
          <w:tab w:val="left" w:pos="720"/>
        </w:tabs>
        <w:ind w:left="720" w:right="-450" w:hanging="1800"/>
        <w:rPr>
          <w:sz w:val="20"/>
          <w:highlight w:val="yellow"/>
        </w:rPr>
      </w:pPr>
    </w:p>
    <w:p w:rsidR="0059386B" w:rsidRDefault="00F73DC4" w:rsidP="006B460C">
      <w:pPr>
        <w:pStyle w:val="BodyText"/>
        <w:tabs>
          <w:tab w:val="left" w:pos="720"/>
        </w:tabs>
        <w:ind w:left="720" w:right="-450" w:hanging="720"/>
        <w:rPr>
          <w:b/>
          <w:sz w:val="20"/>
        </w:rPr>
      </w:pPr>
      <w:r>
        <w:rPr>
          <w:sz w:val="20"/>
        </w:rPr>
        <w:t>B</w:t>
      </w:r>
      <w:r w:rsidR="0059386B">
        <w:rPr>
          <w:sz w:val="20"/>
        </w:rPr>
        <w:t>7</w:t>
      </w:r>
      <w:r w:rsidR="0059386B">
        <w:rPr>
          <w:sz w:val="20"/>
        </w:rPr>
        <w:tab/>
      </w:r>
      <w:r w:rsidR="0059386B" w:rsidRPr="00347C16">
        <w:rPr>
          <w:b/>
          <w:sz w:val="20"/>
        </w:rPr>
        <w:t xml:space="preserve">Quoted </w:t>
      </w:r>
      <w:r w:rsidR="00C66CCC" w:rsidRPr="00347C16">
        <w:rPr>
          <w:b/>
          <w:sz w:val="20"/>
        </w:rPr>
        <w:t>s</w:t>
      </w:r>
      <w:r w:rsidR="0059386B" w:rsidRPr="00347C16">
        <w:rPr>
          <w:b/>
          <w:sz w:val="20"/>
        </w:rPr>
        <w:t>ecurities</w:t>
      </w:r>
    </w:p>
    <w:p w:rsidR="00B949E6" w:rsidRDefault="00B949E6" w:rsidP="00491580">
      <w:pPr>
        <w:pStyle w:val="BodyText"/>
        <w:tabs>
          <w:tab w:val="left" w:pos="720"/>
        </w:tabs>
        <w:ind w:left="720" w:right="-450" w:hanging="1800"/>
        <w:rPr>
          <w:sz w:val="20"/>
        </w:rPr>
      </w:pPr>
    </w:p>
    <w:p w:rsidR="001333A8" w:rsidRDefault="0059386B" w:rsidP="00491580">
      <w:pPr>
        <w:pStyle w:val="BodyText"/>
        <w:tabs>
          <w:tab w:val="left" w:pos="720"/>
        </w:tabs>
        <w:ind w:left="720" w:right="-450" w:hanging="1800"/>
        <w:rPr>
          <w:sz w:val="20"/>
        </w:rPr>
      </w:pPr>
      <w:r>
        <w:rPr>
          <w:sz w:val="20"/>
        </w:rPr>
        <w:tab/>
      </w:r>
      <w:r w:rsidR="001333A8">
        <w:rPr>
          <w:sz w:val="20"/>
        </w:rPr>
        <w:t>The</w:t>
      </w:r>
      <w:r w:rsidR="00F34808">
        <w:rPr>
          <w:sz w:val="20"/>
        </w:rPr>
        <w:t>re were no</w:t>
      </w:r>
      <w:r w:rsidR="001333A8">
        <w:rPr>
          <w:sz w:val="20"/>
        </w:rPr>
        <w:t xml:space="preserve"> dealings in quoted securities for the current financial </w:t>
      </w:r>
      <w:r w:rsidR="00592818">
        <w:rPr>
          <w:sz w:val="20"/>
        </w:rPr>
        <w:t>quarter</w:t>
      </w:r>
      <w:r w:rsidR="00F34808">
        <w:rPr>
          <w:sz w:val="20"/>
        </w:rPr>
        <w:t>.</w:t>
      </w:r>
    </w:p>
    <w:p w:rsidR="0082194F" w:rsidRDefault="001333A8" w:rsidP="00491580">
      <w:pPr>
        <w:pStyle w:val="BodyText"/>
        <w:tabs>
          <w:tab w:val="left" w:pos="720"/>
        </w:tabs>
        <w:ind w:left="720" w:right="-450" w:hanging="1800"/>
        <w:rPr>
          <w:b/>
          <w:sz w:val="20"/>
        </w:rPr>
      </w:pPr>
      <w:r>
        <w:rPr>
          <w:b/>
          <w:sz w:val="20"/>
        </w:rPr>
        <w:tab/>
      </w:r>
    </w:p>
    <w:p w:rsidR="001C7AB9" w:rsidRDefault="001C7AB9" w:rsidP="00491580">
      <w:pPr>
        <w:pStyle w:val="BodyText"/>
        <w:tabs>
          <w:tab w:val="left" w:pos="720"/>
        </w:tabs>
        <w:ind w:left="720" w:right="-450" w:hanging="1800"/>
        <w:rPr>
          <w:sz w:val="20"/>
        </w:rPr>
      </w:pPr>
      <w:r>
        <w:rPr>
          <w:sz w:val="20"/>
        </w:rPr>
        <w:tab/>
        <w:t xml:space="preserve">Total investments in quoted securities as at </w:t>
      </w:r>
      <w:r w:rsidR="00E709F4">
        <w:rPr>
          <w:sz w:val="20"/>
        </w:rPr>
        <w:t>3</w:t>
      </w:r>
      <w:r w:rsidR="004017FB">
        <w:rPr>
          <w:sz w:val="20"/>
        </w:rPr>
        <w:t>1</w:t>
      </w:r>
      <w:r w:rsidR="00DA757A">
        <w:rPr>
          <w:sz w:val="20"/>
        </w:rPr>
        <w:t xml:space="preserve"> </w:t>
      </w:r>
      <w:r w:rsidR="00B067E0">
        <w:rPr>
          <w:sz w:val="20"/>
        </w:rPr>
        <w:t>March</w:t>
      </w:r>
      <w:r>
        <w:rPr>
          <w:sz w:val="20"/>
        </w:rPr>
        <w:t xml:space="preserve"> 20</w:t>
      </w:r>
      <w:r w:rsidR="00DA757A">
        <w:rPr>
          <w:sz w:val="20"/>
        </w:rPr>
        <w:t>1</w:t>
      </w:r>
      <w:r w:rsidR="00B067E0">
        <w:rPr>
          <w:sz w:val="20"/>
        </w:rPr>
        <w:t>1</w:t>
      </w:r>
      <w:r>
        <w:rPr>
          <w:sz w:val="20"/>
        </w:rPr>
        <w:t xml:space="preserve"> were as follows:-</w:t>
      </w:r>
    </w:p>
    <w:p w:rsidR="001C7AB9" w:rsidRDefault="001C7AB9" w:rsidP="00491580">
      <w:pPr>
        <w:pStyle w:val="BodyText"/>
        <w:tabs>
          <w:tab w:val="left" w:pos="720"/>
        </w:tabs>
        <w:ind w:left="720" w:right="-450" w:hanging="1800"/>
        <w:rPr>
          <w:sz w:val="20"/>
        </w:rPr>
      </w:pPr>
      <w:r>
        <w:rPr>
          <w:sz w:val="20"/>
        </w:rPr>
        <w:tab/>
      </w: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140"/>
        <w:gridCol w:w="1530"/>
        <w:gridCol w:w="1530"/>
      </w:tblGrid>
      <w:tr w:rsidR="00E46B49" w:rsidRPr="00CD37D1">
        <w:tc>
          <w:tcPr>
            <w:tcW w:w="630" w:type="dxa"/>
          </w:tcPr>
          <w:p w:rsidR="00E46B49" w:rsidRDefault="00E46B49" w:rsidP="006B460C">
            <w:pPr>
              <w:pStyle w:val="BodyText"/>
              <w:tabs>
                <w:tab w:val="left" w:pos="720"/>
              </w:tabs>
              <w:ind w:right="-450" w:hanging="108"/>
              <w:rPr>
                <w:sz w:val="20"/>
              </w:rPr>
            </w:pPr>
          </w:p>
        </w:tc>
        <w:tc>
          <w:tcPr>
            <w:tcW w:w="4140" w:type="dxa"/>
          </w:tcPr>
          <w:p w:rsidR="00E46B49" w:rsidRDefault="00E46B49" w:rsidP="006B460C">
            <w:pPr>
              <w:pStyle w:val="BodyText"/>
              <w:tabs>
                <w:tab w:val="left" w:pos="720"/>
              </w:tabs>
              <w:ind w:right="-450" w:hanging="108"/>
              <w:rPr>
                <w:sz w:val="20"/>
              </w:rPr>
            </w:pPr>
          </w:p>
        </w:tc>
        <w:tc>
          <w:tcPr>
            <w:tcW w:w="1530" w:type="dxa"/>
          </w:tcPr>
          <w:p w:rsidR="006B460C" w:rsidRDefault="00E46B49" w:rsidP="006B460C">
            <w:pPr>
              <w:pStyle w:val="BodyText"/>
              <w:tabs>
                <w:tab w:val="left" w:pos="720"/>
              </w:tabs>
              <w:ind w:left="-108" w:right="-108"/>
              <w:jc w:val="center"/>
              <w:rPr>
                <w:b/>
                <w:sz w:val="18"/>
              </w:rPr>
            </w:pPr>
            <w:r w:rsidRPr="00CD37D1">
              <w:rPr>
                <w:b/>
                <w:sz w:val="18"/>
              </w:rPr>
              <w:t xml:space="preserve">Quoted </w:t>
            </w:r>
            <w:r>
              <w:rPr>
                <w:b/>
                <w:sz w:val="18"/>
              </w:rPr>
              <w:t>in</w:t>
            </w:r>
            <w:r w:rsidRPr="00CD37D1">
              <w:rPr>
                <w:b/>
                <w:sz w:val="18"/>
              </w:rPr>
              <w:t xml:space="preserve"> </w:t>
            </w:r>
          </w:p>
          <w:p w:rsidR="00E46B49" w:rsidRPr="00CD37D1" w:rsidRDefault="00E46B49" w:rsidP="006B460C">
            <w:pPr>
              <w:pStyle w:val="BodyText"/>
              <w:tabs>
                <w:tab w:val="left" w:pos="720"/>
              </w:tabs>
              <w:ind w:left="-108" w:right="-108"/>
              <w:jc w:val="center"/>
              <w:rPr>
                <w:b/>
                <w:sz w:val="18"/>
              </w:rPr>
            </w:pPr>
            <w:r w:rsidRPr="00CD37D1">
              <w:rPr>
                <w:b/>
                <w:sz w:val="18"/>
              </w:rPr>
              <w:t>Malaysia</w:t>
            </w:r>
          </w:p>
          <w:p w:rsidR="00E46B49" w:rsidRPr="00CD37D1" w:rsidRDefault="00E46B49" w:rsidP="006B460C">
            <w:pPr>
              <w:pStyle w:val="BodyText"/>
              <w:tabs>
                <w:tab w:val="left" w:pos="720"/>
              </w:tabs>
              <w:ind w:left="-108" w:right="-108"/>
              <w:jc w:val="center"/>
              <w:rPr>
                <w:sz w:val="18"/>
              </w:rPr>
            </w:pPr>
            <w:r w:rsidRPr="00CD37D1">
              <w:rPr>
                <w:b/>
                <w:sz w:val="18"/>
              </w:rPr>
              <w:t>RM’000</w:t>
            </w:r>
          </w:p>
        </w:tc>
        <w:tc>
          <w:tcPr>
            <w:tcW w:w="1530" w:type="dxa"/>
          </w:tcPr>
          <w:p w:rsidR="00E46B49" w:rsidRPr="00CD37D1" w:rsidRDefault="00E46B49" w:rsidP="006B460C">
            <w:pPr>
              <w:pStyle w:val="BodyText"/>
              <w:tabs>
                <w:tab w:val="left" w:pos="720"/>
              </w:tabs>
              <w:ind w:left="-108" w:right="-108" w:hanging="108"/>
              <w:jc w:val="center"/>
              <w:rPr>
                <w:b/>
                <w:sz w:val="18"/>
              </w:rPr>
            </w:pPr>
            <w:r w:rsidRPr="00CD37D1">
              <w:rPr>
                <w:b/>
                <w:sz w:val="18"/>
              </w:rPr>
              <w:t>Quoted outside Malaysia</w:t>
            </w:r>
          </w:p>
          <w:p w:rsidR="00E46B49" w:rsidRPr="00CD37D1" w:rsidRDefault="00E46B49" w:rsidP="006B460C">
            <w:pPr>
              <w:pStyle w:val="BodyText"/>
              <w:tabs>
                <w:tab w:val="left" w:pos="720"/>
              </w:tabs>
              <w:ind w:left="-108" w:right="-108" w:hanging="108"/>
              <w:jc w:val="center"/>
              <w:rPr>
                <w:sz w:val="18"/>
              </w:rPr>
            </w:pPr>
            <w:r w:rsidRPr="00CD37D1">
              <w:rPr>
                <w:b/>
                <w:sz w:val="18"/>
              </w:rPr>
              <w:t>RM’000</w:t>
            </w:r>
          </w:p>
        </w:tc>
      </w:tr>
      <w:tr w:rsidR="00E46B49" w:rsidRPr="00CD37D1">
        <w:tc>
          <w:tcPr>
            <w:tcW w:w="630" w:type="dxa"/>
          </w:tcPr>
          <w:p w:rsidR="00E46B49" w:rsidRPr="00CD37D1" w:rsidRDefault="00E46B49" w:rsidP="006B460C">
            <w:pPr>
              <w:pStyle w:val="BodyText"/>
              <w:tabs>
                <w:tab w:val="left" w:pos="720"/>
              </w:tabs>
              <w:ind w:right="-450" w:hanging="108"/>
              <w:rPr>
                <w:sz w:val="20"/>
              </w:rPr>
            </w:pPr>
            <w:r w:rsidRPr="00CD37D1">
              <w:rPr>
                <w:sz w:val="20"/>
              </w:rPr>
              <w:t>(</w:t>
            </w:r>
            <w:proofErr w:type="spellStart"/>
            <w:r w:rsidRPr="00CD37D1">
              <w:rPr>
                <w:sz w:val="20"/>
              </w:rPr>
              <w:t>i</w:t>
            </w:r>
            <w:proofErr w:type="spellEnd"/>
            <w:r w:rsidRPr="00CD37D1">
              <w:rPr>
                <w:sz w:val="20"/>
              </w:rPr>
              <w:t>)</w:t>
            </w:r>
          </w:p>
        </w:tc>
        <w:tc>
          <w:tcPr>
            <w:tcW w:w="4140" w:type="dxa"/>
          </w:tcPr>
          <w:p w:rsidR="00E46B49" w:rsidRPr="00CD37D1" w:rsidRDefault="00E46B49" w:rsidP="006B460C">
            <w:pPr>
              <w:pStyle w:val="BodyText"/>
              <w:tabs>
                <w:tab w:val="left" w:pos="720"/>
              </w:tabs>
              <w:ind w:right="-450" w:hanging="108"/>
              <w:rPr>
                <w:sz w:val="20"/>
              </w:rPr>
            </w:pPr>
            <w:r w:rsidRPr="00CD37D1">
              <w:rPr>
                <w:sz w:val="20"/>
              </w:rPr>
              <w:t xml:space="preserve">Cost </w:t>
            </w:r>
          </w:p>
          <w:p w:rsidR="00E46B49" w:rsidRPr="00CD37D1" w:rsidRDefault="00E46B49" w:rsidP="006B460C">
            <w:pPr>
              <w:pStyle w:val="BodyText"/>
              <w:tabs>
                <w:tab w:val="left" w:pos="720"/>
              </w:tabs>
              <w:ind w:right="-450" w:hanging="108"/>
              <w:rPr>
                <w:sz w:val="20"/>
              </w:rPr>
            </w:pPr>
            <w:r w:rsidRPr="00CD37D1">
              <w:rPr>
                <w:sz w:val="20"/>
              </w:rPr>
              <w:t xml:space="preserve">Provision for diminution in value </w:t>
            </w:r>
          </w:p>
        </w:tc>
        <w:tc>
          <w:tcPr>
            <w:tcW w:w="1530" w:type="dxa"/>
          </w:tcPr>
          <w:p w:rsidR="00E46B49" w:rsidRPr="00500522" w:rsidRDefault="003403D6" w:rsidP="006B460C">
            <w:pPr>
              <w:pStyle w:val="BodyText"/>
              <w:tabs>
                <w:tab w:val="left" w:pos="720"/>
              </w:tabs>
              <w:ind w:left="-108" w:right="-108"/>
              <w:jc w:val="center"/>
              <w:rPr>
                <w:spacing w:val="6"/>
                <w:sz w:val="20"/>
              </w:rPr>
            </w:pPr>
            <w:r w:rsidRPr="00500522">
              <w:rPr>
                <w:spacing w:val="6"/>
                <w:sz w:val="20"/>
              </w:rPr>
              <w:t xml:space="preserve"> </w:t>
            </w:r>
            <w:r w:rsidR="00E46B49" w:rsidRPr="00500522">
              <w:rPr>
                <w:spacing w:val="6"/>
                <w:sz w:val="20"/>
              </w:rPr>
              <w:t>29</w:t>
            </w:r>
          </w:p>
          <w:p w:rsidR="00E46B49" w:rsidRPr="00500522" w:rsidRDefault="00B067E0" w:rsidP="00B067E0">
            <w:pPr>
              <w:pStyle w:val="BodyText"/>
              <w:tabs>
                <w:tab w:val="left" w:pos="720"/>
              </w:tabs>
              <w:ind w:left="-108" w:right="-108"/>
              <w:jc w:val="center"/>
              <w:rPr>
                <w:spacing w:val="6"/>
                <w:sz w:val="20"/>
              </w:rPr>
            </w:pPr>
            <w:r>
              <w:rPr>
                <w:spacing w:val="6"/>
                <w:sz w:val="20"/>
              </w:rPr>
              <w:t xml:space="preserve">  </w:t>
            </w:r>
            <w:r w:rsidR="00E46B49" w:rsidRPr="00500522">
              <w:rPr>
                <w:spacing w:val="6"/>
                <w:sz w:val="20"/>
              </w:rPr>
              <w:t>(</w:t>
            </w:r>
            <w:r>
              <w:rPr>
                <w:spacing w:val="6"/>
                <w:sz w:val="20"/>
              </w:rPr>
              <w:t>5</w:t>
            </w:r>
            <w:r w:rsidR="00E46B49" w:rsidRPr="00500522">
              <w:rPr>
                <w:spacing w:val="6"/>
                <w:sz w:val="20"/>
              </w:rPr>
              <w:t>)</w:t>
            </w:r>
          </w:p>
        </w:tc>
        <w:tc>
          <w:tcPr>
            <w:tcW w:w="1530" w:type="dxa"/>
          </w:tcPr>
          <w:p w:rsidR="00E46B49" w:rsidRPr="00500522" w:rsidRDefault="00B067E0" w:rsidP="006B460C">
            <w:pPr>
              <w:pStyle w:val="BodyText"/>
              <w:tabs>
                <w:tab w:val="left" w:pos="720"/>
              </w:tabs>
              <w:ind w:left="-108" w:right="-108" w:hanging="108"/>
              <w:jc w:val="center"/>
              <w:rPr>
                <w:spacing w:val="6"/>
                <w:sz w:val="20"/>
              </w:rPr>
            </w:pPr>
            <w:r>
              <w:rPr>
                <w:spacing w:val="6"/>
                <w:sz w:val="20"/>
              </w:rPr>
              <w:t>9,203</w:t>
            </w:r>
          </w:p>
          <w:p w:rsidR="00E46B49" w:rsidRPr="00500522" w:rsidRDefault="003F45A3" w:rsidP="00C3747A">
            <w:pPr>
              <w:pStyle w:val="BodyText"/>
              <w:tabs>
                <w:tab w:val="left" w:pos="720"/>
              </w:tabs>
              <w:ind w:left="-108" w:right="-108" w:hanging="108"/>
              <w:jc w:val="center"/>
              <w:rPr>
                <w:spacing w:val="6"/>
                <w:sz w:val="20"/>
              </w:rPr>
            </w:pPr>
            <w:r w:rsidRPr="00500522">
              <w:rPr>
                <w:spacing w:val="6"/>
                <w:sz w:val="20"/>
              </w:rPr>
              <w:t xml:space="preserve">  </w:t>
            </w:r>
            <w:r w:rsidR="004017FB">
              <w:rPr>
                <w:spacing w:val="6"/>
                <w:sz w:val="20"/>
              </w:rPr>
              <w:t>-</w:t>
            </w:r>
          </w:p>
        </w:tc>
      </w:tr>
      <w:tr w:rsidR="00E46B49" w:rsidRPr="00CD37D1">
        <w:tc>
          <w:tcPr>
            <w:tcW w:w="630" w:type="dxa"/>
          </w:tcPr>
          <w:p w:rsidR="00E46B49" w:rsidRPr="00CD37D1" w:rsidRDefault="00E46B49" w:rsidP="006B460C">
            <w:pPr>
              <w:pStyle w:val="BodyText"/>
              <w:tabs>
                <w:tab w:val="left" w:pos="720"/>
              </w:tabs>
              <w:ind w:right="-450" w:hanging="108"/>
              <w:rPr>
                <w:sz w:val="20"/>
              </w:rPr>
            </w:pPr>
            <w:r w:rsidRPr="00CD37D1">
              <w:rPr>
                <w:sz w:val="20"/>
              </w:rPr>
              <w:t>(ii)</w:t>
            </w:r>
          </w:p>
        </w:tc>
        <w:tc>
          <w:tcPr>
            <w:tcW w:w="4140" w:type="dxa"/>
          </w:tcPr>
          <w:p w:rsidR="00E46B49" w:rsidRPr="00CD37D1" w:rsidRDefault="00E46B49" w:rsidP="006B460C">
            <w:pPr>
              <w:pStyle w:val="BodyText"/>
              <w:tabs>
                <w:tab w:val="left" w:pos="720"/>
              </w:tabs>
              <w:ind w:right="-450" w:hanging="108"/>
              <w:rPr>
                <w:sz w:val="20"/>
              </w:rPr>
            </w:pPr>
            <w:r w:rsidRPr="00CD37D1">
              <w:rPr>
                <w:sz w:val="20"/>
              </w:rPr>
              <w:t>Net book value</w:t>
            </w:r>
          </w:p>
        </w:tc>
        <w:tc>
          <w:tcPr>
            <w:tcW w:w="1530" w:type="dxa"/>
          </w:tcPr>
          <w:p w:rsidR="00E46B49" w:rsidRPr="00500522" w:rsidRDefault="00B067E0" w:rsidP="00B067E0">
            <w:pPr>
              <w:pStyle w:val="BodyText"/>
              <w:tabs>
                <w:tab w:val="left" w:pos="720"/>
              </w:tabs>
              <w:ind w:left="-108" w:right="-108"/>
              <w:jc w:val="center"/>
              <w:rPr>
                <w:spacing w:val="6"/>
                <w:sz w:val="20"/>
              </w:rPr>
            </w:pPr>
            <w:r>
              <w:rPr>
                <w:spacing w:val="6"/>
                <w:sz w:val="20"/>
              </w:rPr>
              <w:t xml:space="preserve"> 24</w:t>
            </w:r>
          </w:p>
        </w:tc>
        <w:tc>
          <w:tcPr>
            <w:tcW w:w="1530" w:type="dxa"/>
          </w:tcPr>
          <w:p w:rsidR="00E46B49" w:rsidRPr="00500522" w:rsidRDefault="00B067E0" w:rsidP="004017FB">
            <w:pPr>
              <w:pStyle w:val="BodyText"/>
              <w:tabs>
                <w:tab w:val="left" w:pos="720"/>
              </w:tabs>
              <w:ind w:left="-108" w:right="-108" w:hanging="108"/>
              <w:jc w:val="center"/>
              <w:rPr>
                <w:spacing w:val="6"/>
                <w:sz w:val="20"/>
              </w:rPr>
            </w:pPr>
            <w:r>
              <w:rPr>
                <w:spacing w:val="6"/>
                <w:sz w:val="20"/>
              </w:rPr>
              <w:t>9,203</w:t>
            </w:r>
          </w:p>
        </w:tc>
      </w:tr>
      <w:tr w:rsidR="00E46B49">
        <w:trPr>
          <w:trHeight w:val="233"/>
        </w:trPr>
        <w:tc>
          <w:tcPr>
            <w:tcW w:w="630" w:type="dxa"/>
          </w:tcPr>
          <w:p w:rsidR="00E46B49" w:rsidRPr="00CD37D1" w:rsidRDefault="00E46B49" w:rsidP="006B460C">
            <w:pPr>
              <w:pStyle w:val="BodyText"/>
              <w:tabs>
                <w:tab w:val="left" w:pos="720"/>
              </w:tabs>
              <w:ind w:right="-450" w:hanging="108"/>
              <w:rPr>
                <w:sz w:val="20"/>
              </w:rPr>
            </w:pPr>
            <w:r w:rsidRPr="00CD37D1">
              <w:rPr>
                <w:sz w:val="20"/>
              </w:rPr>
              <w:t>(iii)</w:t>
            </w:r>
          </w:p>
        </w:tc>
        <w:tc>
          <w:tcPr>
            <w:tcW w:w="4140" w:type="dxa"/>
          </w:tcPr>
          <w:p w:rsidR="00E46B49" w:rsidRPr="00CD37D1" w:rsidRDefault="00E46B49" w:rsidP="006B460C">
            <w:pPr>
              <w:pStyle w:val="BodyText"/>
              <w:tabs>
                <w:tab w:val="left" w:pos="720"/>
              </w:tabs>
              <w:ind w:right="-450" w:hanging="108"/>
              <w:rPr>
                <w:sz w:val="20"/>
              </w:rPr>
            </w:pPr>
            <w:r w:rsidRPr="00CD37D1">
              <w:rPr>
                <w:sz w:val="20"/>
              </w:rPr>
              <w:t>Market value</w:t>
            </w:r>
          </w:p>
        </w:tc>
        <w:tc>
          <w:tcPr>
            <w:tcW w:w="1530" w:type="dxa"/>
          </w:tcPr>
          <w:p w:rsidR="00E46B49" w:rsidRPr="00500522" w:rsidRDefault="00B067E0" w:rsidP="006B460C">
            <w:pPr>
              <w:pStyle w:val="BodyText"/>
              <w:tabs>
                <w:tab w:val="left" w:pos="720"/>
              </w:tabs>
              <w:ind w:left="-108" w:right="-108"/>
              <w:jc w:val="center"/>
              <w:rPr>
                <w:sz w:val="20"/>
              </w:rPr>
            </w:pPr>
            <w:r>
              <w:rPr>
                <w:sz w:val="20"/>
              </w:rPr>
              <w:t xml:space="preserve"> 24</w:t>
            </w:r>
          </w:p>
        </w:tc>
        <w:tc>
          <w:tcPr>
            <w:tcW w:w="1530" w:type="dxa"/>
          </w:tcPr>
          <w:p w:rsidR="00E46B49" w:rsidRPr="00500522" w:rsidRDefault="00B067E0" w:rsidP="004017FB">
            <w:pPr>
              <w:pStyle w:val="BodyText"/>
              <w:tabs>
                <w:tab w:val="left" w:pos="720"/>
              </w:tabs>
              <w:ind w:left="-108" w:right="-108" w:hanging="108"/>
              <w:jc w:val="center"/>
              <w:rPr>
                <w:sz w:val="20"/>
              </w:rPr>
            </w:pPr>
            <w:r>
              <w:rPr>
                <w:spacing w:val="6"/>
                <w:sz w:val="20"/>
              </w:rPr>
              <w:t>9,203</w:t>
            </w:r>
          </w:p>
        </w:tc>
      </w:tr>
    </w:tbl>
    <w:p w:rsidR="00AD5532" w:rsidRDefault="00AD5532" w:rsidP="00491580">
      <w:pPr>
        <w:pStyle w:val="BodyText"/>
        <w:tabs>
          <w:tab w:val="left" w:pos="720"/>
        </w:tabs>
        <w:ind w:left="720" w:right="-450" w:hanging="1800"/>
        <w:rPr>
          <w:sz w:val="20"/>
        </w:rPr>
      </w:pPr>
    </w:p>
    <w:p w:rsidR="00171E47" w:rsidRDefault="00171E47" w:rsidP="00491580">
      <w:pPr>
        <w:pStyle w:val="BodyText"/>
        <w:tabs>
          <w:tab w:val="left" w:pos="720"/>
        </w:tabs>
        <w:ind w:left="720" w:right="-450" w:hanging="1800"/>
        <w:rPr>
          <w:sz w:val="20"/>
        </w:rPr>
      </w:pPr>
    </w:p>
    <w:p w:rsidR="0059386B" w:rsidRDefault="0059386B" w:rsidP="006B460C">
      <w:pPr>
        <w:pStyle w:val="BodyText"/>
        <w:tabs>
          <w:tab w:val="left" w:pos="720"/>
        </w:tabs>
        <w:ind w:left="720" w:right="-450" w:hanging="720"/>
        <w:rPr>
          <w:b/>
          <w:sz w:val="20"/>
        </w:rPr>
      </w:pPr>
      <w:r>
        <w:rPr>
          <w:sz w:val="20"/>
        </w:rPr>
        <w:t>B8</w:t>
      </w:r>
      <w:r>
        <w:rPr>
          <w:sz w:val="20"/>
        </w:rPr>
        <w:tab/>
      </w:r>
      <w:r w:rsidRPr="00BB62D1">
        <w:rPr>
          <w:b/>
          <w:sz w:val="20"/>
        </w:rPr>
        <w:t>Status of corporate proposals</w:t>
      </w:r>
      <w:r w:rsidR="00FC2C5F" w:rsidRPr="00BB62D1">
        <w:rPr>
          <w:b/>
          <w:sz w:val="20"/>
        </w:rPr>
        <w:t xml:space="preserve"> </w:t>
      </w:r>
    </w:p>
    <w:p w:rsidR="00AE528B" w:rsidRDefault="00AE528B" w:rsidP="00491580">
      <w:pPr>
        <w:pStyle w:val="ListParagraph"/>
        <w:ind w:right="-450" w:hanging="1800"/>
        <w:jc w:val="both"/>
        <w:rPr>
          <w:b/>
          <w:snapToGrid w:val="0"/>
          <w:color w:val="000000"/>
        </w:rPr>
      </w:pPr>
    </w:p>
    <w:p w:rsidR="000055A6" w:rsidRPr="000055A6" w:rsidRDefault="000055A6" w:rsidP="000055A6">
      <w:pPr>
        <w:pStyle w:val="listparagraph0"/>
        <w:jc w:val="both"/>
      </w:pPr>
      <w:r w:rsidRPr="000055A6">
        <w:t>A wholly owned subsidiary, Carpenters Properties Limited had entered into a Sale and Purchase Agreement</w:t>
      </w:r>
      <w:r w:rsidRPr="000055A6">
        <w:rPr>
          <w:rStyle w:val="Strong"/>
        </w:rPr>
        <w:t xml:space="preserve"> </w:t>
      </w:r>
      <w:r w:rsidRPr="000055A6">
        <w:t xml:space="preserve">to acquire the 100% share interest in Watson Brothers Limited, a property holding company from Messrs Robin Watson and David </w:t>
      </w:r>
      <w:proofErr w:type="spellStart"/>
      <w:r w:rsidRPr="000055A6">
        <w:t>Zundel</w:t>
      </w:r>
      <w:proofErr w:type="spellEnd"/>
      <w:r w:rsidRPr="000055A6">
        <w:t xml:space="preserve"> on 7 January 2006. The matter fell into dispute due to an income tax implication to the vendors from this transaction and as a result the matter</w:t>
      </w:r>
      <w:r>
        <w:t> </w:t>
      </w:r>
      <w:r w:rsidRPr="000055A6">
        <w:t>was referred to Arbitration as provided in the Sale and Purchase Agreement.</w:t>
      </w:r>
      <w:r>
        <w:t xml:space="preserve">  </w:t>
      </w:r>
      <w:r w:rsidRPr="000055A6">
        <w:t xml:space="preserve">On 4 September 2009, The </w:t>
      </w:r>
      <w:proofErr w:type="spellStart"/>
      <w:r w:rsidRPr="000055A6">
        <w:t>Arbittrator</w:t>
      </w:r>
      <w:proofErr w:type="spellEnd"/>
      <w:r w:rsidRPr="000055A6">
        <w:t xml:space="preserve"> ruled for specific performance of the Sale and Purchase Agreement in </w:t>
      </w:r>
      <w:proofErr w:type="spellStart"/>
      <w:r w:rsidRPr="000055A6">
        <w:t>favour</w:t>
      </w:r>
      <w:proofErr w:type="spellEnd"/>
      <w:r w:rsidRPr="000055A6">
        <w:t xml:space="preserve"> of Carpenters Properties Limited. The m</w:t>
      </w:r>
      <w:r w:rsidR="00AD1A80">
        <w:t>atter is still before the Arbit</w:t>
      </w:r>
      <w:r w:rsidRPr="000055A6">
        <w:t>rator and is currently pending further directions and continuation of hearing.</w:t>
      </w:r>
    </w:p>
    <w:p w:rsidR="003355BF" w:rsidRDefault="003355BF" w:rsidP="00B27BAE">
      <w:pPr>
        <w:pStyle w:val="listparagraph0"/>
        <w:jc w:val="both"/>
      </w:pPr>
    </w:p>
    <w:p w:rsidR="00386BF2" w:rsidRDefault="00386BF2" w:rsidP="00B27BAE">
      <w:pPr>
        <w:pStyle w:val="listparagraph0"/>
        <w:jc w:val="both"/>
      </w:pPr>
    </w:p>
    <w:p w:rsidR="00386BF2" w:rsidRDefault="00386BF2" w:rsidP="00B27BAE">
      <w:pPr>
        <w:pStyle w:val="listparagraph0"/>
        <w:jc w:val="both"/>
      </w:pPr>
    </w:p>
    <w:p w:rsidR="0059386B" w:rsidRDefault="0059386B" w:rsidP="006B460C">
      <w:pPr>
        <w:pStyle w:val="BodyText"/>
        <w:tabs>
          <w:tab w:val="left" w:pos="360"/>
          <w:tab w:val="left" w:pos="540"/>
          <w:tab w:val="left" w:pos="630"/>
          <w:tab w:val="left" w:pos="720"/>
          <w:tab w:val="left" w:pos="810"/>
        </w:tabs>
        <w:ind w:left="720" w:right="-450" w:hanging="720"/>
        <w:rPr>
          <w:b/>
          <w:sz w:val="20"/>
        </w:rPr>
      </w:pPr>
      <w:r>
        <w:rPr>
          <w:sz w:val="20"/>
        </w:rPr>
        <w:t>B9</w:t>
      </w:r>
      <w:r>
        <w:rPr>
          <w:sz w:val="20"/>
        </w:rPr>
        <w:tab/>
      </w:r>
      <w:r>
        <w:rPr>
          <w:sz w:val="20"/>
        </w:rPr>
        <w:tab/>
      </w:r>
      <w:r>
        <w:rPr>
          <w:sz w:val="20"/>
        </w:rPr>
        <w:tab/>
      </w:r>
      <w:r>
        <w:rPr>
          <w:sz w:val="20"/>
        </w:rPr>
        <w:tab/>
      </w:r>
      <w:r>
        <w:rPr>
          <w:b/>
          <w:sz w:val="20"/>
        </w:rPr>
        <w:t>Group borrowings</w:t>
      </w:r>
    </w:p>
    <w:p w:rsidR="0059386B" w:rsidRDefault="0059386B" w:rsidP="00491580">
      <w:pPr>
        <w:pStyle w:val="BodyText"/>
        <w:tabs>
          <w:tab w:val="left" w:pos="360"/>
          <w:tab w:val="left" w:pos="540"/>
          <w:tab w:val="left" w:pos="630"/>
          <w:tab w:val="left" w:pos="720"/>
          <w:tab w:val="left" w:pos="810"/>
        </w:tabs>
        <w:ind w:left="720" w:right="-450" w:hanging="1800"/>
        <w:rPr>
          <w:b/>
          <w:sz w:val="20"/>
        </w:rPr>
      </w:pPr>
    </w:p>
    <w:p w:rsidR="0059386B" w:rsidRDefault="0059386B" w:rsidP="006B460C">
      <w:pPr>
        <w:pStyle w:val="BodyText"/>
        <w:numPr>
          <w:ilvl w:val="0"/>
          <w:numId w:val="1"/>
        </w:numPr>
        <w:tabs>
          <w:tab w:val="left" w:pos="360"/>
          <w:tab w:val="left" w:pos="540"/>
          <w:tab w:val="left" w:pos="630"/>
        </w:tabs>
        <w:ind w:left="810" w:right="-450"/>
        <w:rPr>
          <w:b/>
          <w:sz w:val="20"/>
        </w:rPr>
      </w:pPr>
      <w:r>
        <w:rPr>
          <w:b/>
          <w:sz w:val="20"/>
        </w:rPr>
        <w:t xml:space="preserve">Redeemable Convertible Secured Loan Stocks ("RCSLS") And Secured Bonds </w:t>
      </w:r>
    </w:p>
    <w:p w:rsidR="0059386B" w:rsidRDefault="0059386B" w:rsidP="00491580">
      <w:pPr>
        <w:pStyle w:val="BodyText"/>
        <w:tabs>
          <w:tab w:val="left" w:pos="360"/>
          <w:tab w:val="left" w:pos="540"/>
          <w:tab w:val="left" w:pos="630"/>
        </w:tabs>
        <w:ind w:right="-450" w:hanging="1800"/>
        <w:rPr>
          <w:b/>
          <w:sz w:val="20"/>
        </w:rPr>
      </w:pPr>
      <w:r>
        <w:rPr>
          <w:b/>
          <w:sz w:val="20"/>
        </w:rPr>
        <w:tab/>
      </w:r>
      <w:r>
        <w:rPr>
          <w:b/>
          <w:sz w:val="20"/>
        </w:rPr>
        <w:tab/>
      </w:r>
      <w:r>
        <w:rPr>
          <w:b/>
          <w:sz w:val="20"/>
        </w:rPr>
        <w:tab/>
      </w:r>
      <w:r>
        <w:rPr>
          <w:b/>
          <w:sz w:val="20"/>
        </w:rPr>
        <w:tab/>
        <w:t xml:space="preserve">  </w:t>
      </w:r>
    </w:p>
    <w:tbl>
      <w:tblPr>
        <w:tblW w:w="0" w:type="auto"/>
        <w:tblInd w:w="1188" w:type="dxa"/>
        <w:tblLayout w:type="fixed"/>
        <w:tblLook w:val="0000"/>
      </w:tblPr>
      <w:tblGrid>
        <w:gridCol w:w="5670"/>
        <w:gridCol w:w="1440"/>
      </w:tblGrid>
      <w:tr w:rsidR="0059386B" w:rsidRPr="00E00805">
        <w:tc>
          <w:tcPr>
            <w:tcW w:w="5670" w:type="dxa"/>
          </w:tcPr>
          <w:p w:rsidR="0059386B" w:rsidRDefault="0059386B" w:rsidP="006B460C">
            <w:pPr>
              <w:pStyle w:val="BodyText"/>
              <w:tabs>
                <w:tab w:val="left" w:pos="360"/>
                <w:tab w:val="left" w:pos="540"/>
                <w:tab w:val="left" w:pos="630"/>
                <w:tab w:val="left" w:pos="810"/>
              </w:tabs>
              <w:ind w:right="-108" w:hanging="108"/>
              <w:rPr>
                <w:b/>
                <w:sz w:val="20"/>
              </w:rPr>
            </w:pPr>
          </w:p>
        </w:tc>
        <w:tc>
          <w:tcPr>
            <w:tcW w:w="1440" w:type="dxa"/>
          </w:tcPr>
          <w:p w:rsidR="0059386B" w:rsidRPr="00E00805" w:rsidRDefault="0059386B" w:rsidP="006B460C">
            <w:pPr>
              <w:pStyle w:val="BodyText"/>
              <w:tabs>
                <w:tab w:val="left" w:pos="360"/>
                <w:tab w:val="left" w:pos="540"/>
                <w:tab w:val="left" w:pos="630"/>
                <w:tab w:val="left" w:pos="810"/>
              </w:tabs>
              <w:ind w:right="-108" w:hanging="108"/>
              <w:jc w:val="center"/>
              <w:rPr>
                <w:b/>
                <w:sz w:val="20"/>
              </w:rPr>
            </w:pPr>
            <w:r w:rsidRPr="00E00805">
              <w:rPr>
                <w:b/>
                <w:sz w:val="20"/>
              </w:rPr>
              <w:t>RM’000</w:t>
            </w:r>
          </w:p>
        </w:tc>
      </w:tr>
      <w:tr w:rsidR="0059386B" w:rsidRPr="00E00805">
        <w:tc>
          <w:tcPr>
            <w:tcW w:w="5670" w:type="dxa"/>
          </w:tcPr>
          <w:p w:rsidR="0059386B" w:rsidRPr="00E00805" w:rsidRDefault="00A00682" w:rsidP="006B460C">
            <w:pPr>
              <w:pStyle w:val="BodyText"/>
              <w:tabs>
                <w:tab w:val="left" w:pos="360"/>
                <w:tab w:val="left" w:pos="540"/>
                <w:tab w:val="left" w:pos="630"/>
                <w:tab w:val="left" w:pos="810"/>
              </w:tabs>
              <w:ind w:right="-108" w:hanging="108"/>
              <w:rPr>
                <w:sz w:val="20"/>
              </w:rPr>
            </w:pPr>
            <w:r w:rsidRPr="00E00805">
              <w:rPr>
                <w:sz w:val="20"/>
              </w:rPr>
              <w:t>RCSLS A (USD19,236,664</w:t>
            </w:r>
            <w:r w:rsidR="0059386B" w:rsidRPr="00E00805">
              <w:rPr>
                <w:sz w:val="20"/>
              </w:rPr>
              <w:t>)</w:t>
            </w:r>
          </w:p>
        </w:tc>
        <w:tc>
          <w:tcPr>
            <w:tcW w:w="1440" w:type="dxa"/>
          </w:tcPr>
          <w:p w:rsidR="0059386B" w:rsidRPr="0008044C" w:rsidRDefault="004D7BA6" w:rsidP="006B460C">
            <w:pPr>
              <w:pStyle w:val="BodyText"/>
              <w:tabs>
                <w:tab w:val="left" w:pos="360"/>
                <w:tab w:val="left" w:pos="540"/>
                <w:tab w:val="left" w:pos="630"/>
                <w:tab w:val="left" w:pos="810"/>
              </w:tabs>
              <w:ind w:right="-108" w:hanging="108"/>
              <w:jc w:val="center"/>
              <w:rPr>
                <w:b/>
                <w:sz w:val="20"/>
              </w:rPr>
            </w:pPr>
            <w:r w:rsidRPr="0008044C">
              <w:rPr>
                <w:sz w:val="20"/>
              </w:rPr>
              <w:t xml:space="preserve"> </w:t>
            </w:r>
            <w:r w:rsidR="00C24B2D" w:rsidRPr="0008044C">
              <w:rPr>
                <w:sz w:val="20"/>
              </w:rPr>
              <w:t xml:space="preserve"> </w:t>
            </w:r>
            <w:r w:rsidR="00212EE0" w:rsidRPr="0008044C">
              <w:rPr>
                <w:sz w:val="20"/>
              </w:rPr>
              <w:t>58,153</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sz w:val="20"/>
              </w:rPr>
              <w:t>RCSLS B (USD5,665,323)</w:t>
            </w:r>
          </w:p>
        </w:tc>
        <w:tc>
          <w:tcPr>
            <w:tcW w:w="1440" w:type="dxa"/>
          </w:tcPr>
          <w:p w:rsidR="0059386B" w:rsidRPr="0008044C" w:rsidRDefault="004D7BA6" w:rsidP="006B460C">
            <w:pPr>
              <w:pStyle w:val="BodyText"/>
              <w:tabs>
                <w:tab w:val="left" w:pos="360"/>
                <w:tab w:val="left" w:pos="540"/>
                <w:tab w:val="left" w:pos="630"/>
                <w:tab w:val="left" w:pos="810"/>
              </w:tabs>
              <w:ind w:right="-108" w:hanging="108"/>
              <w:jc w:val="center"/>
              <w:rPr>
                <w:b/>
                <w:sz w:val="20"/>
              </w:rPr>
            </w:pPr>
            <w:r w:rsidRPr="0008044C">
              <w:rPr>
                <w:sz w:val="20"/>
              </w:rPr>
              <w:t xml:space="preserve"> </w:t>
            </w:r>
            <w:r w:rsidR="00C24B2D" w:rsidRPr="0008044C">
              <w:rPr>
                <w:sz w:val="20"/>
              </w:rPr>
              <w:t xml:space="preserve"> </w:t>
            </w:r>
            <w:r w:rsidR="003659BC" w:rsidRPr="0008044C">
              <w:rPr>
                <w:sz w:val="20"/>
              </w:rPr>
              <w:t>1</w:t>
            </w:r>
            <w:r w:rsidR="007B4B6E" w:rsidRPr="0008044C">
              <w:rPr>
                <w:sz w:val="20"/>
              </w:rPr>
              <w:t>7,</w:t>
            </w:r>
            <w:r w:rsidR="00212EE0" w:rsidRPr="0008044C">
              <w:rPr>
                <w:sz w:val="20"/>
              </w:rPr>
              <w:t>126</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sz w:val="20"/>
              </w:rPr>
            </w:pPr>
            <w:r w:rsidRPr="00E00805">
              <w:rPr>
                <w:sz w:val="20"/>
              </w:rPr>
              <w:t>Total RCSLS</w:t>
            </w:r>
          </w:p>
        </w:tc>
        <w:tc>
          <w:tcPr>
            <w:tcW w:w="1440" w:type="dxa"/>
            <w:tcBorders>
              <w:top w:val="single" w:sz="4" w:space="0" w:color="auto"/>
            </w:tcBorders>
          </w:tcPr>
          <w:p w:rsidR="0059386B" w:rsidRPr="0008044C" w:rsidRDefault="004D7BA6" w:rsidP="0008044C">
            <w:pPr>
              <w:pStyle w:val="BodyText"/>
              <w:tabs>
                <w:tab w:val="left" w:pos="360"/>
                <w:tab w:val="left" w:pos="540"/>
                <w:tab w:val="left" w:pos="630"/>
                <w:tab w:val="left" w:pos="810"/>
              </w:tabs>
              <w:ind w:right="-108" w:hanging="108"/>
              <w:rPr>
                <w:sz w:val="20"/>
              </w:rPr>
            </w:pPr>
            <w:r w:rsidRPr="0008044C">
              <w:rPr>
                <w:sz w:val="20"/>
              </w:rPr>
              <w:t xml:space="preserve"> </w:t>
            </w:r>
            <w:r w:rsidR="00D23186" w:rsidRPr="0008044C">
              <w:rPr>
                <w:sz w:val="20"/>
              </w:rPr>
              <w:t xml:space="preserve">     </w:t>
            </w:r>
            <w:r w:rsidRPr="0008044C">
              <w:rPr>
                <w:sz w:val="20"/>
              </w:rPr>
              <w:t xml:space="preserve"> </w:t>
            </w:r>
            <w:r w:rsidR="006B460C" w:rsidRPr="0008044C">
              <w:rPr>
                <w:sz w:val="20"/>
              </w:rPr>
              <w:t xml:space="preserve">  </w:t>
            </w:r>
            <w:r w:rsidR="001B23FA" w:rsidRPr="0008044C">
              <w:rPr>
                <w:sz w:val="20"/>
              </w:rPr>
              <w:t>7</w:t>
            </w:r>
            <w:r w:rsidR="00212EE0" w:rsidRPr="0008044C">
              <w:rPr>
                <w:sz w:val="20"/>
              </w:rPr>
              <w:t>5,279</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sz w:val="20"/>
              </w:rPr>
              <w:t>Less : Equity portion of RCSLS</w:t>
            </w:r>
          </w:p>
        </w:tc>
        <w:tc>
          <w:tcPr>
            <w:tcW w:w="1440" w:type="dxa"/>
            <w:tcBorders>
              <w:bottom w:val="single" w:sz="8" w:space="0" w:color="000000"/>
            </w:tcBorders>
          </w:tcPr>
          <w:p w:rsidR="0059386B" w:rsidRPr="0008044C" w:rsidRDefault="00062B15" w:rsidP="004C21FF">
            <w:pPr>
              <w:pStyle w:val="BodyText"/>
              <w:tabs>
                <w:tab w:val="left" w:pos="360"/>
                <w:tab w:val="left" w:pos="540"/>
                <w:tab w:val="left" w:pos="630"/>
                <w:tab w:val="left" w:pos="810"/>
              </w:tabs>
              <w:ind w:right="-108" w:hanging="108"/>
              <w:jc w:val="center"/>
              <w:rPr>
                <w:b/>
                <w:sz w:val="20"/>
              </w:rPr>
            </w:pPr>
            <w:r w:rsidRPr="0008044C">
              <w:rPr>
                <w:sz w:val="20"/>
              </w:rPr>
              <w:t xml:space="preserve"> </w:t>
            </w:r>
            <w:r w:rsidR="004D7BA6" w:rsidRPr="0008044C">
              <w:rPr>
                <w:sz w:val="20"/>
              </w:rPr>
              <w:t xml:space="preserve"> </w:t>
            </w:r>
            <w:r w:rsidR="00212EE0" w:rsidRPr="0008044C">
              <w:rPr>
                <w:sz w:val="20"/>
              </w:rPr>
              <w:t>(68,003</w:t>
            </w:r>
            <w:r w:rsidR="00FF5DD6" w:rsidRPr="0008044C">
              <w:rPr>
                <w:sz w:val="20"/>
              </w:rPr>
              <w:t>)</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b/>
                <w:sz w:val="20"/>
              </w:rPr>
              <w:t>Net RCSLS</w:t>
            </w:r>
          </w:p>
        </w:tc>
        <w:tc>
          <w:tcPr>
            <w:tcW w:w="1440" w:type="dxa"/>
          </w:tcPr>
          <w:p w:rsidR="0059386B" w:rsidRPr="0008044C" w:rsidRDefault="000A6EE3" w:rsidP="006B460C">
            <w:pPr>
              <w:pStyle w:val="BodyText"/>
              <w:tabs>
                <w:tab w:val="left" w:pos="360"/>
                <w:tab w:val="left" w:pos="540"/>
                <w:tab w:val="left" w:pos="630"/>
                <w:tab w:val="left" w:pos="810"/>
              </w:tabs>
              <w:ind w:right="-108" w:hanging="108"/>
              <w:jc w:val="center"/>
              <w:rPr>
                <w:b/>
                <w:sz w:val="20"/>
              </w:rPr>
            </w:pPr>
            <w:r w:rsidRPr="0008044C">
              <w:rPr>
                <w:b/>
                <w:sz w:val="20"/>
              </w:rPr>
              <w:t xml:space="preserve"> </w:t>
            </w:r>
            <w:r w:rsidR="000445B0" w:rsidRPr="0008044C">
              <w:rPr>
                <w:b/>
                <w:sz w:val="20"/>
              </w:rPr>
              <w:t xml:space="preserve">  </w:t>
            </w:r>
            <w:r w:rsidR="00212EE0" w:rsidRPr="0008044C">
              <w:rPr>
                <w:b/>
                <w:sz w:val="20"/>
              </w:rPr>
              <w:t>7,276</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b/>
                <w:sz w:val="20"/>
              </w:rPr>
              <w:t>Secured Bonds (USD1</w:t>
            </w:r>
            <w:r w:rsidR="005171D9" w:rsidRPr="00E00805">
              <w:rPr>
                <w:b/>
                <w:sz w:val="20"/>
              </w:rPr>
              <w:t>2</w:t>
            </w:r>
            <w:r w:rsidRPr="00E00805">
              <w:rPr>
                <w:b/>
                <w:sz w:val="20"/>
              </w:rPr>
              <w:t>,</w:t>
            </w:r>
            <w:r w:rsidR="005171D9" w:rsidRPr="00E00805">
              <w:rPr>
                <w:b/>
                <w:sz w:val="20"/>
              </w:rPr>
              <w:t>700</w:t>
            </w:r>
            <w:r w:rsidRPr="00E00805">
              <w:rPr>
                <w:b/>
                <w:sz w:val="20"/>
              </w:rPr>
              <w:t>,000)</w:t>
            </w:r>
          </w:p>
        </w:tc>
        <w:tc>
          <w:tcPr>
            <w:tcW w:w="1440" w:type="dxa"/>
          </w:tcPr>
          <w:p w:rsidR="0059386B" w:rsidRPr="0008044C" w:rsidRDefault="001E41F9" w:rsidP="0008044C">
            <w:pPr>
              <w:pStyle w:val="BodyText"/>
              <w:tabs>
                <w:tab w:val="left" w:pos="360"/>
                <w:tab w:val="left" w:pos="540"/>
                <w:tab w:val="left" w:pos="630"/>
                <w:tab w:val="left" w:pos="810"/>
              </w:tabs>
              <w:ind w:right="-108" w:hanging="108"/>
              <w:rPr>
                <w:b/>
                <w:sz w:val="20"/>
              </w:rPr>
            </w:pPr>
            <w:r w:rsidRPr="0008044C">
              <w:rPr>
                <w:b/>
                <w:sz w:val="20"/>
              </w:rPr>
              <w:t xml:space="preserve">     </w:t>
            </w:r>
            <w:r w:rsidR="006B460C" w:rsidRPr="0008044C">
              <w:rPr>
                <w:b/>
                <w:sz w:val="20"/>
              </w:rPr>
              <w:t xml:space="preserve">   </w:t>
            </w:r>
            <w:r w:rsidR="004D7BA6" w:rsidRPr="0008044C">
              <w:rPr>
                <w:b/>
                <w:sz w:val="20"/>
              </w:rPr>
              <w:t xml:space="preserve"> </w:t>
            </w:r>
            <w:r w:rsidR="00212EE0" w:rsidRPr="0008044C">
              <w:rPr>
                <w:b/>
                <w:sz w:val="20"/>
              </w:rPr>
              <w:t>38,392</w:t>
            </w:r>
          </w:p>
        </w:tc>
      </w:tr>
      <w:tr w:rsidR="0059386B">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p>
        </w:tc>
        <w:tc>
          <w:tcPr>
            <w:tcW w:w="1440" w:type="dxa"/>
            <w:tcBorders>
              <w:top w:val="single" w:sz="8" w:space="0" w:color="000000"/>
              <w:bottom w:val="single" w:sz="12" w:space="0" w:color="000000"/>
            </w:tcBorders>
          </w:tcPr>
          <w:p w:rsidR="0059386B" w:rsidRPr="0008044C" w:rsidRDefault="00F916A1" w:rsidP="0008044C">
            <w:pPr>
              <w:pStyle w:val="BodyText"/>
              <w:tabs>
                <w:tab w:val="left" w:pos="360"/>
                <w:tab w:val="left" w:pos="540"/>
                <w:tab w:val="left" w:pos="630"/>
                <w:tab w:val="left" w:pos="810"/>
              </w:tabs>
              <w:ind w:right="-108" w:hanging="108"/>
              <w:rPr>
                <w:b/>
                <w:sz w:val="20"/>
              </w:rPr>
            </w:pPr>
            <w:r w:rsidRPr="0008044C">
              <w:rPr>
                <w:b/>
                <w:sz w:val="20"/>
              </w:rPr>
              <w:t xml:space="preserve">     </w:t>
            </w:r>
            <w:r w:rsidR="006B460C" w:rsidRPr="0008044C">
              <w:rPr>
                <w:b/>
                <w:sz w:val="20"/>
              </w:rPr>
              <w:t xml:space="preserve">   </w:t>
            </w:r>
            <w:r w:rsidR="004D7BA6" w:rsidRPr="0008044C">
              <w:rPr>
                <w:b/>
                <w:sz w:val="20"/>
              </w:rPr>
              <w:t xml:space="preserve"> </w:t>
            </w:r>
            <w:r w:rsidR="000A6EE3" w:rsidRPr="0008044C">
              <w:rPr>
                <w:b/>
                <w:sz w:val="20"/>
              </w:rPr>
              <w:t>4</w:t>
            </w:r>
            <w:r w:rsidR="00212EE0" w:rsidRPr="0008044C">
              <w:rPr>
                <w:b/>
                <w:sz w:val="20"/>
              </w:rPr>
              <w:t>5,668</w:t>
            </w:r>
          </w:p>
        </w:tc>
      </w:tr>
    </w:tbl>
    <w:p w:rsidR="00B949E6" w:rsidRDefault="00B949E6" w:rsidP="00491580">
      <w:pPr>
        <w:pStyle w:val="BodyText"/>
        <w:tabs>
          <w:tab w:val="left" w:pos="360"/>
          <w:tab w:val="left" w:pos="540"/>
          <w:tab w:val="left" w:pos="630"/>
          <w:tab w:val="left" w:pos="1080"/>
        </w:tabs>
        <w:ind w:right="-450" w:hanging="1800"/>
        <w:rPr>
          <w:sz w:val="20"/>
        </w:rPr>
      </w:pPr>
    </w:p>
    <w:p w:rsidR="000A148D" w:rsidRDefault="000A148D" w:rsidP="00491580">
      <w:pPr>
        <w:pStyle w:val="BodyText"/>
        <w:tabs>
          <w:tab w:val="left" w:pos="360"/>
          <w:tab w:val="left" w:pos="540"/>
          <w:tab w:val="left" w:pos="630"/>
          <w:tab w:val="left" w:pos="1080"/>
        </w:tabs>
        <w:ind w:right="-450" w:hanging="1800"/>
        <w:rPr>
          <w:sz w:val="20"/>
        </w:rPr>
      </w:pPr>
    </w:p>
    <w:p w:rsidR="0059386B" w:rsidRDefault="0059386B" w:rsidP="00491580">
      <w:pPr>
        <w:pStyle w:val="BodyText"/>
        <w:tabs>
          <w:tab w:val="left" w:pos="360"/>
          <w:tab w:val="left" w:pos="540"/>
          <w:tab w:val="left" w:pos="630"/>
          <w:tab w:val="left" w:pos="1080"/>
        </w:tabs>
        <w:ind w:right="-450" w:hanging="1800"/>
        <w:rPr>
          <w:sz w:val="20"/>
        </w:rPr>
      </w:pPr>
      <w:r>
        <w:rPr>
          <w:sz w:val="20"/>
        </w:rPr>
        <w:tab/>
      </w:r>
      <w:r>
        <w:rPr>
          <w:sz w:val="20"/>
        </w:rPr>
        <w:tab/>
        <w:t xml:space="preserve"> </w:t>
      </w:r>
      <w:r>
        <w:rPr>
          <w:sz w:val="20"/>
        </w:rPr>
        <w:tab/>
      </w:r>
      <w:r>
        <w:rPr>
          <w:sz w:val="20"/>
        </w:rPr>
        <w:tab/>
      </w:r>
      <w:r w:rsidR="006713A0">
        <w:rPr>
          <w:sz w:val="20"/>
        </w:rPr>
        <w:t xml:space="preserve"> </w:t>
      </w:r>
      <w:r>
        <w:rPr>
          <w:sz w:val="20"/>
        </w:rPr>
        <w:t>The salient terms of the RCSLS</w:t>
      </w:r>
      <w:r w:rsidR="003D2574">
        <w:rPr>
          <w:sz w:val="20"/>
        </w:rPr>
        <w:t xml:space="preserve"> and </w:t>
      </w:r>
      <w:r>
        <w:rPr>
          <w:sz w:val="20"/>
        </w:rPr>
        <w:t>Secured Bonds are as follows:</w:t>
      </w:r>
    </w:p>
    <w:p w:rsidR="0059386B" w:rsidRDefault="0059386B" w:rsidP="00491580">
      <w:pPr>
        <w:pStyle w:val="BodyText"/>
        <w:tabs>
          <w:tab w:val="left" w:pos="360"/>
          <w:tab w:val="left" w:pos="540"/>
          <w:tab w:val="left" w:pos="630"/>
          <w:tab w:val="left" w:pos="720"/>
        </w:tabs>
        <w:ind w:right="-450" w:hanging="1800"/>
        <w:rPr>
          <w:sz w:val="20"/>
        </w:rPr>
      </w:pPr>
    </w:p>
    <w:p w:rsidR="00581E42" w:rsidRDefault="0059386B" w:rsidP="00491580">
      <w:pPr>
        <w:pStyle w:val="BodyText"/>
        <w:tabs>
          <w:tab w:val="left" w:pos="360"/>
          <w:tab w:val="left" w:pos="540"/>
          <w:tab w:val="left" w:pos="720"/>
        </w:tabs>
        <w:ind w:right="-450" w:hanging="1800"/>
        <w:rPr>
          <w:sz w:val="20"/>
        </w:rPr>
      </w:pPr>
      <w:r>
        <w:rPr>
          <w:sz w:val="20"/>
        </w:rPr>
        <w:tab/>
      </w:r>
      <w:r>
        <w:rPr>
          <w:sz w:val="20"/>
        </w:rPr>
        <w:tab/>
      </w:r>
      <w:r>
        <w:rPr>
          <w:sz w:val="20"/>
        </w:rPr>
        <w:tab/>
      </w:r>
      <w:r>
        <w:rPr>
          <w:sz w:val="20"/>
        </w:rPr>
        <w:tab/>
      </w:r>
      <w:r>
        <w:rPr>
          <w:sz w:val="20"/>
        </w:rPr>
        <w:tab/>
      </w:r>
      <w:r>
        <w:rPr>
          <w:sz w:val="20"/>
        </w:rPr>
        <w:tab/>
        <w:t xml:space="preserve"> </w:t>
      </w:r>
      <w:r w:rsidR="00581E42">
        <w:rPr>
          <w:sz w:val="20"/>
        </w:rPr>
        <w:tab/>
      </w:r>
      <w:r>
        <w:rPr>
          <w:sz w:val="20"/>
        </w:rPr>
        <w:t xml:space="preserve"> </w:t>
      </w:r>
      <w:r>
        <w:rPr>
          <w:sz w:val="20"/>
          <w:u w:val="single"/>
        </w:rPr>
        <w:t>Nominal value</w:t>
      </w:r>
      <w:r>
        <w:rPr>
          <w:sz w:val="20"/>
        </w:rPr>
        <w:tab/>
        <w:t xml:space="preserve"> </w:t>
      </w:r>
      <w:r>
        <w:rPr>
          <w:sz w:val="20"/>
          <w:u w:val="single"/>
        </w:rPr>
        <w:t>Tenure</w:t>
      </w:r>
      <w:r>
        <w:rPr>
          <w:sz w:val="20"/>
          <w:u w:val="single"/>
        </w:rPr>
        <w:tab/>
      </w:r>
      <w:r>
        <w:rPr>
          <w:sz w:val="20"/>
        </w:rPr>
        <w:t xml:space="preserve">   </w:t>
      </w:r>
      <w:r>
        <w:rPr>
          <w:sz w:val="20"/>
          <w:u w:val="single"/>
        </w:rPr>
        <w:t>Maturity Date</w:t>
      </w:r>
      <w:r>
        <w:rPr>
          <w:sz w:val="20"/>
        </w:rPr>
        <w:t xml:space="preserve">   </w:t>
      </w:r>
      <w:r>
        <w:rPr>
          <w:sz w:val="20"/>
          <w:u w:val="single"/>
        </w:rPr>
        <w:t>Coupon Rate</w:t>
      </w:r>
      <w:r>
        <w:rPr>
          <w:sz w:val="20"/>
        </w:rPr>
        <w:tab/>
        <w:t xml:space="preserve">           </w:t>
      </w:r>
      <w:r>
        <w:rPr>
          <w:sz w:val="20"/>
        </w:rPr>
        <w:tab/>
      </w:r>
      <w:r>
        <w:rPr>
          <w:sz w:val="20"/>
        </w:rPr>
        <w:tab/>
      </w:r>
    </w:p>
    <w:p w:rsidR="00581E42" w:rsidRDefault="00581E42" w:rsidP="00581E42">
      <w:pPr>
        <w:pStyle w:val="BodyText"/>
        <w:tabs>
          <w:tab w:val="left" w:pos="360"/>
          <w:tab w:val="left" w:pos="540"/>
          <w:tab w:val="left" w:pos="720"/>
        </w:tabs>
        <w:ind w:right="-450" w:hanging="1800"/>
        <w:rPr>
          <w:sz w:val="20"/>
        </w:rPr>
      </w:pPr>
      <w:r>
        <w:rPr>
          <w:sz w:val="20"/>
        </w:rPr>
        <w:tab/>
      </w:r>
      <w:r w:rsidR="0059386B">
        <w:rPr>
          <w:sz w:val="20"/>
        </w:rPr>
        <w:t xml:space="preserve"> </w:t>
      </w:r>
      <w:r>
        <w:rPr>
          <w:sz w:val="20"/>
        </w:rPr>
        <w:tab/>
      </w:r>
      <w:r>
        <w:rPr>
          <w:sz w:val="20"/>
        </w:rPr>
        <w:tab/>
      </w:r>
      <w:r w:rsidR="0059386B">
        <w:rPr>
          <w:sz w:val="20"/>
        </w:rPr>
        <w:t xml:space="preserve">  </w:t>
      </w:r>
      <w:r w:rsidR="00613DAE">
        <w:rPr>
          <w:sz w:val="20"/>
        </w:rPr>
        <w:t xml:space="preserve"> </w:t>
      </w:r>
      <w:proofErr w:type="gramStart"/>
      <w:r w:rsidR="0059386B">
        <w:rPr>
          <w:sz w:val="20"/>
        </w:rPr>
        <w:t>a)  RCSLS</w:t>
      </w:r>
      <w:proofErr w:type="gramEnd"/>
      <w:r w:rsidR="0059386B">
        <w:rPr>
          <w:sz w:val="20"/>
        </w:rPr>
        <w:t xml:space="preserve"> A-2003/20</w:t>
      </w:r>
      <w:r w:rsidR="00E1680A">
        <w:rPr>
          <w:sz w:val="20"/>
        </w:rPr>
        <w:t>13</w:t>
      </w:r>
      <w:r w:rsidR="0059386B">
        <w:rPr>
          <w:sz w:val="20"/>
        </w:rPr>
        <w:t xml:space="preserve"> </w:t>
      </w:r>
      <w:r w:rsidR="00A060A6">
        <w:rPr>
          <w:sz w:val="20"/>
        </w:rPr>
        <w:t xml:space="preserve"> </w:t>
      </w:r>
      <w:r w:rsidR="00351956">
        <w:rPr>
          <w:sz w:val="20"/>
        </w:rPr>
        <w:t xml:space="preserve"> </w:t>
      </w:r>
      <w:r>
        <w:rPr>
          <w:sz w:val="20"/>
        </w:rPr>
        <w:tab/>
      </w:r>
      <w:r w:rsidR="00351956">
        <w:rPr>
          <w:sz w:val="20"/>
        </w:rPr>
        <w:t xml:space="preserve">  </w:t>
      </w:r>
      <w:r w:rsidR="00A060A6">
        <w:rPr>
          <w:sz w:val="20"/>
        </w:rPr>
        <w:t>USD1 each</w:t>
      </w:r>
      <w:r w:rsidR="00A060A6">
        <w:rPr>
          <w:sz w:val="20"/>
        </w:rPr>
        <w:tab/>
        <w:t xml:space="preserve"> </w:t>
      </w:r>
      <w:r w:rsidR="00E1680A">
        <w:rPr>
          <w:sz w:val="20"/>
        </w:rPr>
        <w:t>10</w:t>
      </w:r>
      <w:r w:rsidR="00A060A6">
        <w:rPr>
          <w:sz w:val="20"/>
        </w:rPr>
        <w:t xml:space="preserve"> years</w:t>
      </w:r>
      <w:r w:rsidR="00440D34">
        <w:rPr>
          <w:sz w:val="20"/>
        </w:rPr>
        <w:t xml:space="preserve"> </w:t>
      </w:r>
      <w:r w:rsidR="00A060A6">
        <w:rPr>
          <w:sz w:val="20"/>
        </w:rPr>
        <w:t xml:space="preserve">  </w:t>
      </w:r>
      <w:r w:rsidR="00440D34">
        <w:rPr>
          <w:sz w:val="20"/>
        </w:rPr>
        <w:t xml:space="preserve"> </w:t>
      </w:r>
      <w:r w:rsidR="00A060A6">
        <w:rPr>
          <w:sz w:val="20"/>
        </w:rPr>
        <w:t xml:space="preserve"> 30.6.2013</w:t>
      </w:r>
      <w:r w:rsidR="0059386B">
        <w:rPr>
          <w:sz w:val="20"/>
        </w:rPr>
        <w:t xml:space="preserve">       </w:t>
      </w:r>
      <w:r w:rsidR="003C2A3B">
        <w:rPr>
          <w:sz w:val="20"/>
        </w:rPr>
        <w:t>} LIBOR + 1.5%</w:t>
      </w:r>
      <w:r w:rsidR="005B5557">
        <w:rPr>
          <w:sz w:val="20"/>
        </w:rPr>
        <w:t xml:space="preserve"> p.a.</w:t>
      </w:r>
    </w:p>
    <w:p w:rsidR="00581E42" w:rsidRDefault="0059386B" w:rsidP="006713A0">
      <w:pPr>
        <w:pStyle w:val="BodyText"/>
        <w:tabs>
          <w:tab w:val="left" w:pos="180"/>
          <w:tab w:val="left" w:pos="540"/>
          <w:tab w:val="left" w:pos="720"/>
        </w:tabs>
        <w:ind w:right="-450" w:hanging="1800"/>
        <w:rPr>
          <w:sz w:val="20"/>
        </w:rPr>
      </w:pPr>
      <w:r>
        <w:rPr>
          <w:sz w:val="20"/>
        </w:rPr>
        <w:tab/>
      </w:r>
      <w:r w:rsidR="00D2268B">
        <w:rPr>
          <w:sz w:val="20"/>
        </w:rPr>
        <w:tab/>
      </w:r>
      <w:r w:rsidR="00D2268B">
        <w:rPr>
          <w:sz w:val="20"/>
        </w:rPr>
        <w:tab/>
        <w:t xml:space="preserve">   </w:t>
      </w:r>
      <w:proofErr w:type="gramStart"/>
      <w:r>
        <w:rPr>
          <w:sz w:val="20"/>
        </w:rPr>
        <w:t xml:space="preserve">b) </w:t>
      </w:r>
      <w:r w:rsidR="00581E42">
        <w:rPr>
          <w:sz w:val="20"/>
        </w:rPr>
        <w:t xml:space="preserve"> </w:t>
      </w:r>
      <w:r>
        <w:rPr>
          <w:sz w:val="20"/>
        </w:rPr>
        <w:t>RCSLS</w:t>
      </w:r>
      <w:proofErr w:type="gramEnd"/>
      <w:r>
        <w:rPr>
          <w:sz w:val="20"/>
        </w:rPr>
        <w:t xml:space="preserve"> B-2003/20</w:t>
      </w:r>
      <w:r w:rsidR="00E1680A">
        <w:rPr>
          <w:sz w:val="20"/>
        </w:rPr>
        <w:t>13</w:t>
      </w:r>
      <w:r>
        <w:rPr>
          <w:sz w:val="20"/>
        </w:rPr>
        <w:tab/>
        <w:t xml:space="preserve"> </w:t>
      </w:r>
      <w:r w:rsidR="00A060A6">
        <w:rPr>
          <w:sz w:val="20"/>
        </w:rPr>
        <w:t xml:space="preserve"> USD1 each</w:t>
      </w:r>
      <w:r w:rsidR="00A060A6">
        <w:rPr>
          <w:sz w:val="20"/>
        </w:rPr>
        <w:tab/>
      </w:r>
      <w:r w:rsidR="00351956">
        <w:rPr>
          <w:sz w:val="20"/>
        </w:rPr>
        <w:t xml:space="preserve"> </w:t>
      </w:r>
      <w:r w:rsidR="00E1680A">
        <w:rPr>
          <w:sz w:val="20"/>
        </w:rPr>
        <w:t>10</w:t>
      </w:r>
      <w:r w:rsidR="00900D4C">
        <w:rPr>
          <w:sz w:val="20"/>
        </w:rPr>
        <w:t xml:space="preserve"> </w:t>
      </w:r>
      <w:r w:rsidR="00A060A6">
        <w:rPr>
          <w:sz w:val="20"/>
        </w:rPr>
        <w:t xml:space="preserve">years </w:t>
      </w:r>
      <w:r w:rsidR="00440D34">
        <w:rPr>
          <w:sz w:val="20"/>
        </w:rPr>
        <w:t xml:space="preserve"> </w:t>
      </w:r>
      <w:r w:rsidR="00A060A6">
        <w:rPr>
          <w:sz w:val="20"/>
        </w:rPr>
        <w:t xml:space="preserve"> </w:t>
      </w:r>
      <w:r w:rsidR="00351956">
        <w:rPr>
          <w:sz w:val="20"/>
        </w:rPr>
        <w:t xml:space="preserve"> </w:t>
      </w:r>
      <w:r w:rsidR="00A060A6">
        <w:rPr>
          <w:sz w:val="20"/>
        </w:rPr>
        <w:t xml:space="preserve"> 30.6.2013</w:t>
      </w:r>
      <w:r>
        <w:rPr>
          <w:sz w:val="20"/>
        </w:rPr>
        <w:t xml:space="preserve">      </w:t>
      </w:r>
      <w:r w:rsidR="003C2A3B">
        <w:rPr>
          <w:sz w:val="20"/>
        </w:rPr>
        <w:t xml:space="preserve"> }</w:t>
      </w:r>
      <w:r w:rsidR="005B5557">
        <w:rPr>
          <w:sz w:val="20"/>
        </w:rPr>
        <w:t xml:space="preserve"> LIBOR + 1.5% p.a.</w:t>
      </w:r>
    </w:p>
    <w:p w:rsidR="00581E42" w:rsidRDefault="00D2268B" w:rsidP="00581E42">
      <w:pPr>
        <w:pStyle w:val="BodyText"/>
        <w:tabs>
          <w:tab w:val="left" w:pos="180"/>
          <w:tab w:val="left" w:pos="540"/>
          <w:tab w:val="left" w:pos="720"/>
        </w:tabs>
        <w:ind w:right="-450" w:hanging="1800"/>
        <w:rPr>
          <w:sz w:val="20"/>
        </w:rPr>
      </w:pPr>
      <w:r>
        <w:rPr>
          <w:sz w:val="20"/>
        </w:rPr>
        <w:tab/>
      </w:r>
      <w:r>
        <w:rPr>
          <w:sz w:val="20"/>
        </w:rPr>
        <w:tab/>
      </w:r>
      <w:r>
        <w:rPr>
          <w:sz w:val="20"/>
        </w:rPr>
        <w:tab/>
        <w:t xml:space="preserve">   </w:t>
      </w:r>
      <w:proofErr w:type="gramStart"/>
      <w:r w:rsidR="00581E42">
        <w:rPr>
          <w:sz w:val="20"/>
        </w:rPr>
        <w:t>c)  Secured</w:t>
      </w:r>
      <w:proofErr w:type="gramEnd"/>
      <w:r w:rsidR="00581E42">
        <w:rPr>
          <w:sz w:val="20"/>
        </w:rPr>
        <w:t xml:space="preserve"> Bonds      </w:t>
      </w:r>
      <w:r w:rsidR="00581E42">
        <w:rPr>
          <w:sz w:val="20"/>
        </w:rPr>
        <w:tab/>
        <w:t xml:space="preserve">  USD1 each</w:t>
      </w:r>
      <w:r w:rsidR="00581E42">
        <w:rPr>
          <w:sz w:val="20"/>
        </w:rPr>
        <w:tab/>
        <w:t xml:space="preserve"> 25 years     5.12.2020       } Weekly floating rate as</w:t>
      </w:r>
    </w:p>
    <w:p w:rsidR="00581E42" w:rsidRDefault="00581E42" w:rsidP="00581E42">
      <w:pPr>
        <w:pStyle w:val="BodyText"/>
        <w:tabs>
          <w:tab w:val="left" w:pos="180"/>
          <w:tab w:val="left" w:pos="540"/>
          <w:tab w:val="left" w:pos="720"/>
        </w:tabs>
        <w:ind w:right="-450" w:hanging="180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roofErr w:type="gramStart"/>
      <w:r>
        <w:rPr>
          <w:sz w:val="20"/>
        </w:rPr>
        <w:t>determined</w:t>
      </w:r>
      <w:proofErr w:type="gramEnd"/>
      <w:r>
        <w:rPr>
          <w:sz w:val="20"/>
        </w:rPr>
        <w:t xml:space="preserve"> by the Remarketing</w:t>
      </w:r>
    </w:p>
    <w:p w:rsidR="00581E42" w:rsidRPr="00E00805" w:rsidRDefault="00581E42" w:rsidP="00581E42">
      <w:pPr>
        <w:pStyle w:val="BodyText"/>
        <w:tabs>
          <w:tab w:val="left" w:pos="180"/>
          <w:tab w:val="left" w:pos="540"/>
          <w:tab w:val="left" w:pos="720"/>
        </w:tabs>
        <w:ind w:right="-450" w:hanging="180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E00805">
        <w:rPr>
          <w:sz w:val="20"/>
        </w:rPr>
        <w:t xml:space="preserve">Agent – </w:t>
      </w:r>
      <w:r w:rsidRPr="0008044C">
        <w:rPr>
          <w:sz w:val="20"/>
        </w:rPr>
        <w:t>averaging 0.</w:t>
      </w:r>
      <w:r w:rsidR="00BE18E2" w:rsidRPr="0008044C">
        <w:rPr>
          <w:sz w:val="20"/>
        </w:rPr>
        <w:t>3</w:t>
      </w:r>
      <w:r w:rsidR="00D2268B" w:rsidRPr="0008044C">
        <w:rPr>
          <w:sz w:val="20"/>
        </w:rPr>
        <w:t>2</w:t>
      </w:r>
      <w:r w:rsidRPr="0008044C">
        <w:rPr>
          <w:sz w:val="20"/>
        </w:rPr>
        <w:t>% p.a.</w:t>
      </w:r>
      <w:r w:rsidR="00F91331" w:rsidRPr="0008044C">
        <w:rPr>
          <w:sz w:val="20"/>
        </w:rPr>
        <w:t xml:space="preserve"> for</w:t>
      </w:r>
      <w:r w:rsidR="00F91331" w:rsidRPr="00E00805">
        <w:rPr>
          <w:sz w:val="20"/>
        </w:rPr>
        <w:t xml:space="preserve"> </w:t>
      </w:r>
    </w:p>
    <w:p w:rsidR="00F91331" w:rsidRPr="00E00805" w:rsidRDefault="00F91331" w:rsidP="00581E42">
      <w:pPr>
        <w:pStyle w:val="BodyText"/>
        <w:tabs>
          <w:tab w:val="left" w:pos="180"/>
          <w:tab w:val="left" w:pos="540"/>
          <w:tab w:val="left" w:pos="720"/>
        </w:tabs>
        <w:ind w:right="-450" w:hanging="1800"/>
        <w:rPr>
          <w:sz w:val="20"/>
        </w:rPr>
      </w:pPr>
      <w:r w:rsidRPr="00E00805">
        <w:rPr>
          <w:sz w:val="20"/>
        </w:rPr>
        <w:tab/>
      </w:r>
      <w:r w:rsidRPr="00E00805">
        <w:rPr>
          <w:sz w:val="20"/>
        </w:rPr>
        <w:tab/>
      </w:r>
      <w:r w:rsidRPr="00E00805">
        <w:rPr>
          <w:sz w:val="20"/>
        </w:rPr>
        <w:tab/>
      </w:r>
      <w:r w:rsidRPr="00E00805">
        <w:rPr>
          <w:sz w:val="20"/>
        </w:rPr>
        <w:tab/>
      </w:r>
      <w:r w:rsidRPr="00E00805">
        <w:rPr>
          <w:sz w:val="20"/>
        </w:rPr>
        <w:tab/>
      </w:r>
      <w:r w:rsidRPr="00E00805">
        <w:rPr>
          <w:sz w:val="20"/>
        </w:rPr>
        <w:tab/>
      </w:r>
      <w:r w:rsidRPr="00E00805">
        <w:rPr>
          <w:sz w:val="20"/>
        </w:rPr>
        <w:tab/>
      </w:r>
      <w:r w:rsidRPr="00E00805">
        <w:rPr>
          <w:sz w:val="20"/>
        </w:rPr>
        <w:tab/>
      </w:r>
      <w:r w:rsidRPr="00E00805">
        <w:rPr>
          <w:sz w:val="20"/>
        </w:rPr>
        <w:tab/>
      </w:r>
      <w:r w:rsidRPr="00E00805">
        <w:rPr>
          <w:sz w:val="20"/>
        </w:rPr>
        <w:tab/>
      </w:r>
      <w:r w:rsidRPr="00E00805">
        <w:rPr>
          <w:sz w:val="20"/>
        </w:rPr>
        <w:tab/>
      </w:r>
      <w:r w:rsidRPr="00E00805">
        <w:rPr>
          <w:sz w:val="20"/>
        </w:rPr>
        <w:tab/>
        <w:t xml:space="preserve">   </w:t>
      </w:r>
      <w:proofErr w:type="gramStart"/>
      <w:r w:rsidRPr="00E00805">
        <w:rPr>
          <w:sz w:val="20"/>
        </w:rPr>
        <w:t>the</w:t>
      </w:r>
      <w:proofErr w:type="gramEnd"/>
      <w:r w:rsidRPr="00E00805">
        <w:rPr>
          <w:sz w:val="20"/>
        </w:rPr>
        <w:t xml:space="preserve"> </w:t>
      </w:r>
      <w:r w:rsidR="003D05A6">
        <w:rPr>
          <w:sz w:val="20"/>
        </w:rPr>
        <w:t>year</w:t>
      </w:r>
      <w:r w:rsidRPr="00E00805">
        <w:rPr>
          <w:sz w:val="20"/>
        </w:rPr>
        <w:t xml:space="preserve"> ended 3</w:t>
      </w:r>
      <w:r w:rsidR="00212EE0">
        <w:rPr>
          <w:sz w:val="20"/>
        </w:rPr>
        <w:t>1 March 2011</w:t>
      </w:r>
      <w:r w:rsidR="006713A0" w:rsidRPr="00E00805">
        <w:rPr>
          <w:sz w:val="20"/>
        </w:rPr>
        <w:t>.</w:t>
      </w:r>
    </w:p>
    <w:p w:rsidR="00581E42" w:rsidRPr="00E00805" w:rsidRDefault="0059386B" w:rsidP="00581E42">
      <w:pPr>
        <w:pStyle w:val="BodyText"/>
        <w:tabs>
          <w:tab w:val="left" w:pos="180"/>
          <w:tab w:val="left" w:pos="540"/>
          <w:tab w:val="left" w:pos="720"/>
        </w:tabs>
        <w:ind w:right="-450" w:hanging="1800"/>
        <w:rPr>
          <w:sz w:val="20"/>
        </w:rPr>
      </w:pPr>
      <w:r w:rsidRPr="00E00805">
        <w:rPr>
          <w:sz w:val="20"/>
        </w:rPr>
        <w:tab/>
      </w:r>
      <w:r w:rsidR="0050655A" w:rsidRPr="00E00805">
        <w:rPr>
          <w:sz w:val="20"/>
        </w:rPr>
        <w:tab/>
      </w:r>
      <w:r w:rsidR="00581E42" w:rsidRPr="00E00805">
        <w:rPr>
          <w:sz w:val="20"/>
        </w:rPr>
        <w:tab/>
      </w:r>
      <w:r w:rsidR="00581E42" w:rsidRPr="00E00805">
        <w:rPr>
          <w:sz w:val="20"/>
        </w:rPr>
        <w:tab/>
      </w:r>
      <w:r w:rsidR="00581E42" w:rsidRPr="00E00805">
        <w:rPr>
          <w:sz w:val="20"/>
        </w:rPr>
        <w:tab/>
      </w:r>
    </w:p>
    <w:p w:rsidR="00220A73" w:rsidRPr="00E00805" w:rsidRDefault="0059386B" w:rsidP="00581E42">
      <w:pPr>
        <w:pStyle w:val="BodyText"/>
        <w:tabs>
          <w:tab w:val="left" w:pos="180"/>
          <w:tab w:val="left" w:pos="540"/>
          <w:tab w:val="left" w:pos="720"/>
        </w:tabs>
        <w:ind w:right="-450" w:hanging="1800"/>
        <w:rPr>
          <w:sz w:val="20"/>
        </w:rPr>
      </w:pPr>
      <w:r w:rsidRPr="00E00805">
        <w:rPr>
          <w:sz w:val="20"/>
        </w:rPr>
        <w:tab/>
      </w:r>
      <w:r w:rsidRPr="00E00805">
        <w:rPr>
          <w:sz w:val="20"/>
        </w:rPr>
        <w:tab/>
      </w:r>
      <w:r w:rsidRPr="00E00805">
        <w:rPr>
          <w:sz w:val="20"/>
        </w:rPr>
        <w:tab/>
      </w:r>
      <w:r w:rsidRPr="00E00805">
        <w:rPr>
          <w:sz w:val="20"/>
        </w:rPr>
        <w:tab/>
      </w:r>
      <w:r w:rsidRPr="00E00805">
        <w:rPr>
          <w:sz w:val="20"/>
        </w:rPr>
        <w:tab/>
      </w:r>
    </w:p>
    <w:p w:rsidR="0059386B" w:rsidRPr="00E00805" w:rsidRDefault="0059386B" w:rsidP="006713A0">
      <w:pPr>
        <w:pStyle w:val="BodyText"/>
        <w:numPr>
          <w:ilvl w:val="0"/>
          <w:numId w:val="1"/>
        </w:numPr>
        <w:tabs>
          <w:tab w:val="left" w:pos="360"/>
          <w:tab w:val="left" w:pos="540"/>
          <w:tab w:val="left" w:pos="630"/>
          <w:tab w:val="left" w:pos="810"/>
          <w:tab w:val="num" w:pos="1260"/>
        </w:tabs>
        <w:ind w:left="900" w:right="-450" w:hanging="450"/>
        <w:rPr>
          <w:sz w:val="20"/>
        </w:rPr>
      </w:pPr>
      <w:r w:rsidRPr="00E00805">
        <w:rPr>
          <w:b/>
          <w:sz w:val="20"/>
        </w:rPr>
        <w:t>Long term borrowings</w:t>
      </w:r>
    </w:p>
    <w:tbl>
      <w:tblPr>
        <w:tblW w:w="0" w:type="auto"/>
        <w:tblInd w:w="1008" w:type="dxa"/>
        <w:tblLayout w:type="fixed"/>
        <w:tblLook w:val="0000"/>
      </w:tblPr>
      <w:tblGrid>
        <w:gridCol w:w="5670"/>
        <w:gridCol w:w="1440"/>
      </w:tblGrid>
      <w:tr w:rsidR="0059386B" w:rsidRPr="00E00805">
        <w:tc>
          <w:tcPr>
            <w:tcW w:w="5670" w:type="dxa"/>
          </w:tcPr>
          <w:p w:rsidR="0059386B" w:rsidRPr="00E00805" w:rsidRDefault="0059386B" w:rsidP="009F66C4">
            <w:pPr>
              <w:pStyle w:val="BodyText"/>
              <w:tabs>
                <w:tab w:val="left" w:pos="360"/>
                <w:tab w:val="left" w:pos="540"/>
                <w:tab w:val="left" w:pos="630"/>
                <w:tab w:val="left" w:pos="1080"/>
              </w:tabs>
              <w:ind w:right="-450" w:hanging="108"/>
              <w:rPr>
                <w:sz w:val="20"/>
              </w:rPr>
            </w:pPr>
          </w:p>
        </w:tc>
        <w:tc>
          <w:tcPr>
            <w:tcW w:w="1440" w:type="dxa"/>
          </w:tcPr>
          <w:p w:rsidR="0059386B" w:rsidRPr="00E00805" w:rsidRDefault="0059386B" w:rsidP="009F66C4">
            <w:pPr>
              <w:pStyle w:val="BodyText"/>
              <w:tabs>
                <w:tab w:val="left" w:pos="360"/>
                <w:tab w:val="left" w:pos="540"/>
                <w:tab w:val="left" w:pos="630"/>
                <w:tab w:val="left" w:pos="1080"/>
              </w:tabs>
              <w:ind w:right="-450" w:hanging="108"/>
              <w:jc w:val="center"/>
              <w:rPr>
                <w:b/>
                <w:sz w:val="20"/>
              </w:rPr>
            </w:pPr>
            <w:r w:rsidRPr="00E00805">
              <w:rPr>
                <w:b/>
                <w:sz w:val="20"/>
              </w:rPr>
              <w:t>RM’000</w:t>
            </w:r>
          </w:p>
        </w:tc>
      </w:tr>
      <w:tr w:rsidR="0059386B" w:rsidRPr="00E00805">
        <w:tc>
          <w:tcPr>
            <w:tcW w:w="5670" w:type="dxa"/>
          </w:tcPr>
          <w:p w:rsidR="0059386B" w:rsidRPr="00E00805" w:rsidRDefault="006E5222" w:rsidP="009F66C4">
            <w:pPr>
              <w:pStyle w:val="BodyText"/>
              <w:tabs>
                <w:tab w:val="left" w:pos="360"/>
                <w:tab w:val="left" w:pos="540"/>
                <w:tab w:val="left" w:pos="630"/>
                <w:tab w:val="left" w:pos="1080"/>
              </w:tabs>
              <w:ind w:right="-450" w:hanging="108"/>
              <w:rPr>
                <w:b/>
                <w:sz w:val="20"/>
              </w:rPr>
            </w:pPr>
            <w:r w:rsidRPr="00E00805">
              <w:rPr>
                <w:b/>
                <w:sz w:val="20"/>
              </w:rPr>
              <w:t>Secured</w:t>
            </w:r>
          </w:p>
        </w:tc>
        <w:tc>
          <w:tcPr>
            <w:tcW w:w="1440" w:type="dxa"/>
          </w:tcPr>
          <w:p w:rsidR="0059386B" w:rsidRPr="00E00805" w:rsidRDefault="0059386B" w:rsidP="009F66C4">
            <w:pPr>
              <w:pStyle w:val="BodyText"/>
              <w:tabs>
                <w:tab w:val="left" w:pos="360"/>
                <w:tab w:val="left" w:pos="540"/>
                <w:tab w:val="left" w:pos="630"/>
                <w:tab w:val="left" w:pos="1080"/>
              </w:tabs>
              <w:ind w:right="-450" w:hanging="108"/>
              <w:jc w:val="center"/>
              <w:rPr>
                <w:sz w:val="20"/>
              </w:rPr>
            </w:pPr>
          </w:p>
        </w:tc>
      </w:tr>
      <w:tr w:rsidR="00A97B8A" w:rsidRPr="00E00805">
        <w:tc>
          <w:tcPr>
            <w:tcW w:w="5670" w:type="dxa"/>
          </w:tcPr>
          <w:p w:rsidR="00A97B8A" w:rsidRPr="00E00805" w:rsidRDefault="00A97B8A" w:rsidP="00010D7A">
            <w:pPr>
              <w:pStyle w:val="BodyText"/>
              <w:tabs>
                <w:tab w:val="left" w:pos="360"/>
                <w:tab w:val="left" w:pos="540"/>
                <w:tab w:val="left" w:pos="630"/>
                <w:tab w:val="left" w:pos="1080"/>
              </w:tabs>
              <w:ind w:right="-450" w:hanging="108"/>
              <w:rPr>
                <w:sz w:val="20"/>
              </w:rPr>
            </w:pPr>
            <w:r w:rsidRPr="00E00805">
              <w:rPr>
                <w:sz w:val="20"/>
              </w:rPr>
              <w:t xml:space="preserve"> - Hire purchase and lease payable due after one year</w:t>
            </w:r>
          </w:p>
        </w:tc>
        <w:tc>
          <w:tcPr>
            <w:tcW w:w="1440" w:type="dxa"/>
          </w:tcPr>
          <w:p w:rsidR="00A97B8A" w:rsidRPr="0008044C" w:rsidRDefault="00A97B8A" w:rsidP="00010D7A">
            <w:pPr>
              <w:pStyle w:val="BodyText"/>
              <w:tabs>
                <w:tab w:val="left" w:pos="360"/>
                <w:tab w:val="left" w:pos="540"/>
                <w:tab w:val="left" w:pos="630"/>
                <w:tab w:val="left" w:pos="1080"/>
              </w:tabs>
              <w:ind w:right="-450" w:hanging="108"/>
              <w:jc w:val="center"/>
              <w:rPr>
                <w:sz w:val="20"/>
              </w:rPr>
            </w:pPr>
            <w:r w:rsidRPr="0008044C">
              <w:rPr>
                <w:sz w:val="20"/>
              </w:rPr>
              <w:t xml:space="preserve">  21,969</w:t>
            </w:r>
          </w:p>
        </w:tc>
      </w:tr>
      <w:tr w:rsidR="00A97B8A" w:rsidRPr="00E00805">
        <w:tc>
          <w:tcPr>
            <w:tcW w:w="5670" w:type="dxa"/>
          </w:tcPr>
          <w:p w:rsidR="00A97B8A" w:rsidRPr="00E00805" w:rsidRDefault="00A97B8A" w:rsidP="009F66C4">
            <w:pPr>
              <w:pStyle w:val="BodyText"/>
              <w:tabs>
                <w:tab w:val="left" w:pos="360"/>
                <w:tab w:val="left" w:pos="540"/>
                <w:tab w:val="left" w:pos="630"/>
                <w:tab w:val="left" w:pos="1080"/>
              </w:tabs>
              <w:ind w:right="-450" w:hanging="108"/>
              <w:rPr>
                <w:sz w:val="20"/>
              </w:rPr>
            </w:pPr>
            <w:r w:rsidRPr="00E00805">
              <w:rPr>
                <w:sz w:val="20"/>
              </w:rPr>
              <w:t xml:space="preserve"> - Term loans</w:t>
            </w:r>
          </w:p>
        </w:tc>
        <w:tc>
          <w:tcPr>
            <w:tcW w:w="1440" w:type="dxa"/>
          </w:tcPr>
          <w:p w:rsidR="00A97B8A" w:rsidRPr="0008044C" w:rsidRDefault="00A97B8A" w:rsidP="009F66C4">
            <w:pPr>
              <w:pStyle w:val="BodyText"/>
              <w:tabs>
                <w:tab w:val="left" w:pos="360"/>
                <w:tab w:val="left" w:pos="540"/>
                <w:tab w:val="left" w:pos="630"/>
                <w:tab w:val="left" w:pos="1080"/>
              </w:tabs>
              <w:ind w:right="-450" w:hanging="108"/>
              <w:jc w:val="center"/>
              <w:rPr>
                <w:sz w:val="20"/>
              </w:rPr>
            </w:pPr>
            <w:r w:rsidRPr="0008044C">
              <w:rPr>
                <w:sz w:val="20"/>
              </w:rPr>
              <w:t>226,073</w:t>
            </w:r>
          </w:p>
        </w:tc>
      </w:tr>
      <w:tr w:rsidR="00A97B8A" w:rsidRPr="00E00805">
        <w:tc>
          <w:tcPr>
            <w:tcW w:w="5670" w:type="dxa"/>
          </w:tcPr>
          <w:p w:rsidR="00A97B8A" w:rsidRPr="00E00805" w:rsidRDefault="00A97B8A" w:rsidP="00010D7A">
            <w:pPr>
              <w:pStyle w:val="BodyText"/>
              <w:tabs>
                <w:tab w:val="left" w:pos="360"/>
                <w:tab w:val="left" w:pos="540"/>
                <w:tab w:val="left" w:pos="630"/>
                <w:tab w:val="left" w:pos="1080"/>
              </w:tabs>
              <w:ind w:right="-450" w:hanging="108"/>
              <w:rPr>
                <w:b/>
                <w:sz w:val="20"/>
              </w:rPr>
            </w:pPr>
            <w:r w:rsidRPr="00E00805">
              <w:rPr>
                <w:sz w:val="20"/>
              </w:rPr>
              <w:t xml:space="preserve"> - Medium term notes</w:t>
            </w:r>
          </w:p>
        </w:tc>
        <w:tc>
          <w:tcPr>
            <w:tcW w:w="1440" w:type="dxa"/>
            <w:tcBorders>
              <w:bottom w:val="single" w:sz="8" w:space="0" w:color="000000"/>
            </w:tcBorders>
          </w:tcPr>
          <w:p w:rsidR="00A97B8A" w:rsidRPr="0008044C" w:rsidRDefault="00A97B8A" w:rsidP="00010D7A">
            <w:pPr>
              <w:pStyle w:val="BodyText"/>
              <w:tabs>
                <w:tab w:val="left" w:pos="360"/>
                <w:tab w:val="left" w:pos="540"/>
                <w:tab w:val="left" w:pos="630"/>
                <w:tab w:val="left" w:pos="1080"/>
              </w:tabs>
              <w:ind w:right="-450" w:hanging="108"/>
              <w:jc w:val="center"/>
              <w:rPr>
                <w:sz w:val="20"/>
              </w:rPr>
            </w:pPr>
            <w:r w:rsidRPr="0008044C">
              <w:rPr>
                <w:sz w:val="20"/>
              </w:rPr>
              <w:t>105,600</w:t>
            </w:r>
          </w:p>
        </w:tc>
      </w:tr>
      <w:tr w:rsidR="00A97B8A" w:rsidRPr="00E00805">
        <w:tc>
          <w:tcPr>
            <w:tcW w:w="5670" w:type="dxa"/>
          </w:tcPr>
          <w:p w:rsidR="00A97B8A" w:rsidRPr="00E00805" w:rsidRDefault="00A97B8A" w:rsidP="009F66C4">
            <w:pPr>
              <w:pStyle w:val="BodyText"/>
              <w:tabs>
                <w:tab w:val="left" w:pos="360"/>
                <w:tab w:val="left" w:pos="540"/>
                <w:tab w:val="left" w:pos="630"/>
                <w:tab w:val="left" w:pos="1080"/>
              </w:tabs>
              <w:ind w:right="-450" w:hanging="108"/>
              <w:rPr>
                <w:sz w:val="20"/>
              </w:rPr>
            </w:pPr>
            <w:r w:rsidRPr="00E00805">
              <w:rPr>
                <w:sz w:val="20"/>
              </w:rPr>
              <w:t xml:space="preserve"> Sub-total</w:t>
            </w:r>
          </w:p>
        </w:tc>
        <w:tc>
          <w:tcPr>
            <w:tcW w:w="1440" w:type="dxa"/>
            <w:tcBorders>
              <w:top w:val="single" w:sz="8" w:space="0" w:color="000000"/>
              <w:bottom w:val="single" w:sz="8" w:space="0" w:color="000000"/>
            </w:tcBorders>
          </w:tcPr>
          <w:p w:rsidR="00A97B8A" w:rsidRPr="0008044C" w:rsidRDefault="00A97B8A" w:rsidP="009F66C4">
            <w:pPr>
              <w:pStyle w:val="BodyText"/>
              <w:tabs>
                <w:tab w:val="left" w:pos="360"/>
                <w:tab w:val="left" w:pos="540"/>
                <w:tab w:val="left" w:pos="630"/>
                <w:tab w:val="left" w:pos="1080"/>
              </w:tabs>
              <w:ind w:right="-450" w:hanging="108"/>
              <w:jc w:val="center"/>
              <w:rPr>
                <w:sz w:val="20"/>
              </w:rPr>
            </w:pPr>
            <w:r>
              <w:rPr>
                <w:sz w:val="20"/>
              </w:rPr>
              <w:t>353,642</w:t>
            </w:r>
          </w:p>
        </w:tc>
      </w:tr>
      <w:tr w:rsidR="00A97B8A" w:rsidRPr="00E00805">
        <w:tc>
          <w:tcPr>
            <w:tcW w:w="5670" w:type="dxa"/>
          </w:tcPr>
          <w:p w:rsidR="00A97B8A" w:rsidRPr="00E00805" w:rsidRDefault="00A97B8A" w:rsidP="009F66C4">
            <w:pPr>
              <w:pStyle w:val="BodyText"/>
              <w:tabs>
                <w:tab w:val="left" w:pos="360"/>
                <w:tab w:val="left" w:pos="540"/>
                <w:tab w:val="left" w:pos="630"/>
                <w:tab w:val="left" w:pos="1080"/>
              </w:tabs>
              <w:ind w:right="-450" w:hanging="108"/>
              <w:rPr>
                <w:b/>
                <w:sz w:val="20"/>
              </w:rPr>
            </w:pPr>
          </w:p>
        </w:tc>
        <w:tc>
          <w:tcPr>
            <w:tcW w:w="1440" w:type="dxa"/>
            <w:tcBorders>
              <w:top w:val="single" w:sz="8" w:space="0" w:color="000000"/>
            </w:tcBorders>
          </w:tcPr>
          <w:p w:rsidR="00A97B8A" w:rsidRPr="0008044C" w:rsidRDefault="00A97B8A" w:rsidP="009F66C4">
            <w:pPr>
              <w:pStyle w:val="BodyText"/>
              <w:tabs>
                <w:tab w:val="left" w:pos="360"/>
                <w:tab w:val="left" w:pos="540"/>
                <w:tab w:val="left" w:pos="630"/>
                <w:tab w:val="left" w:pos="1080"/>
              </w:tabs>
              <w:ind w:right="-450" w:hanging="108"/>
              <w:jc w:val="center"/>
              <w:rPr>
                <w:sz w:val="20"/>
              </w:rPr>
            </w:pPr>
          </w:p>
        </w:tc>
      </w:tr>
      <w:tr w:rsidR="00A97B8A" w:rsidRPr="00E00805">
        <w:tc>
          <w:tcPr>
            <w:tcW w:w="5670" w:type="dxa"/>
          </w:tcPr>
          <w:p w:rsidR="00A97B8A" w:rsidRPr="00E00805" w:rsidRDefault="00A97B8A" w:rsidP="009F66C4">
            <w:pPr>
              <w:pStyle w:val="BodyText"/>
              <w:tabs>
                <w:tab w:val="left" w:pos="360"/>
                <w:tab w:val="left" w:pos="540"/>
                <w:tab w:val="left" w:pos="630"/>
                <w:tab w:val="left" w:pos="1080"/>
              </w:tabs>
              <w:ind w:right="-450" w:hanging="108"/>
              <w:rPr>
                <w:b/>
                <w:sz w:val="20"/>
              </w:rPr>
            </w:pPr>
            <w:r w:rsidRPr="00E00805">
              <w:rPr>
                <w:b/>
                <w:sz w:val="20"/>
              </w:rPr>
              <w:t>Unsecured</w:t>
            </w:r>
          </w:p>
        </w:tc>
        <w:tc>
          <w:tcPr>
            <w:tcW w:w="1440" w:type="dxa"/>
          </w:tcPr>
          <w:p w:rsidR="00A97B8A" w:rsidRPr="0008044C" w:rsidRDefault="00A97B8A" w:rsidP="009F66C4">
            <w:pPr>
              <w:pStyle w:val="BodyText"/>
              <w:tabs>
                <w:tab w:val="left" w:pos="360"/>
                <w:tab w:val="left" w:pos="540"/>
                <w:tab w:val="left" w:pos="630"/>
                <w:tab w:val="left" w:pos="1080"/>
              </w:tabs>
              <w:ind w:right="-450" w:hanging="108"/>
              <w:jc w:val="center"/>
              <w:rPr>
                <w:sz w:val="20"/>
              </w:rPr>
            </w:pPr>
          </w:p>
        </w:tc>
      </w:tr>
      <w:tr w:rsidR="00A97B8A" w:rsidRPr="00E00805">
        <w:tc>
          <w:tcPr>
            <w:tcW w:w="5670" w:type="dxa"/>
          </w:tcPr>
          <w:p w:rsidR="00A97B8A" w:rsidRPr="00E00805" w:rsidRDefault="00A97B8A" w:rsidP="009F66C4">
            <w:pPr>
              <w:pStyle w:val="BodyText"/>
              <w:tabs>
                <w:tab w:val="left" w:pos="360"/>
                <w:tab w:val="left" w:pos="540"/>
                <w:tab w:val="left" w:pos="630"/>
                <w:tab w:val="left" w:pos="1080"/>
              </w:tabs>
              <w:ind w:right="-450" w:hanging="108"/>
              <w:rPr>
                <w:sz w:val="20"/>
              </w:rPr>
            </w:pPr>
            <w:r w:rsidRPr="00E00805">
              <w:rPr>
                <w:sz w:val="20"/>
              </w:rPr>
              <w:t xml:space="preserve"> - Term loans</w:t>
            </w:r>
          </w:p>
        </w:tc>
        <w:tc>
          <w:tcPr>
            <w:tcW w:w="1440" w:type="dxa"/>
          </w:tcPr>
          <w:p w:rsidR="00A97B8A" w:rsidRDefault="00A97B8A" w:rsidP="009F66C4">
            <w:pPr>
              <w:pStyle w:val="BodyText"/>
              <w:tabs>
                <w:tab w:val="left" w:pos="360"/>
                <w:tab w:val="left" w:pos="540"/>
                <w:tab w:val="left" w:pos="630"/>
                <w:tab w:val="left" w:pos="1080"/>
              </w:tabs>
              <w:ind w:right="-450" w:hanging="108"/>
              <w:jc w:val="center"/>
              <w:rPr>
                <w:sz w:val="20"/>
              </w:rPr>
            </w:pPr>
            <w:r w:rsidRPr="0008044C">
              <w:rPr>
                <w:sz w:val="20"/>
              </w:rPr>
              <w:t xml:space="preserve">    2,250</w:t>
            </w:r>
          </w:p>
          <w:p w:rsidR="00B46406" w:rsidRPr="0008044C" w:rsidRDefault="00B46406" w:rsidP="009F66C4">
            <w:pPr>
              <w:pStyle w:val="BodyText"/>
              <w:tabs>
                <w:tab w:val="left" w:pos="360"/>
                <w:tab w:val="left" w:pos="540"/>
                <w:tab w:val="left" w:pos="630"/>
                <w:tab w:val="left" w:pos="1080"/>
              </w:tabs>
              <w:ind w:right="-450" w:hanging="108"/>
              <w:jc w:val="center"/>
              <w:rPr>
                <w:sz w:val="20"/>
              </w:rPr>
            </w:pPr>
          </w:p>
        </w:tc>
      </w:tr>
      <w:tr w:rsidR="00A97B8A">
        <w:tc>
          <w:tcPr>
            <w:tcW w:w="5670" w:type="dxa"/>
          </w:tcPr>
          <w:p w:rsidR="00A97B8A" w:rsidRPr="00E00805" w:rsidRDefault="00A97B8A" w:rsidP="009F66C4">
            <w:pPr>
              <w:pStyle w:val="BodyText"/>
              <w:tabs>
                <w:tab w:val="left" w:pos="360"/>
                <w:tab w:val="left" w:pos="540"/>
                <w:tab w:val="left" w:pos="630"/>
                <w:tab w:val="left" w:pos="1080"/>
              </w:tabs>
              <w:ind w:right="-450" w:hanging="108"/>
              <w:rPr>
                <w:sz w:val="20"/>
              </w:rPr>
            </w:pPr>
            <w:r w:rsidRPr="00E00805">
              <w:rPr>
                <w:b/>
                <w:sz w:val="20"/>
              </w:rPr>
              <w:t xml:space="preserve"> Total</w:t>
            </w:r>
          </w:p>
        </w:tc>
        <w:tc>
          <w:tcPr>
            <w:tcW w:w="1440" w:type="dxa"/>
            <w:tcBorders>
              <w:top w:val="single" w:sz="8" w:space="0" w:color="000000"/>
              <w:bottom w:val="single" w:sz="12" w:space="0" w:color="000000"/>
            </w:tcBorders>
          </w:tcPr>
          <w:p w:rsidR="00A97B8A" w:rsidRPr="0008044C" w:rsidRDefault="00A97B8A" w:rsidP="009F66C4">
            <w:pPr>
              <w:pStyle w:val="BodyText"/>
              <w:tabs>
                <w:tab w:val="left" w:pos="360"/>
                <w:tab w:val="left" w:pos="540"/>
                <w:tab w:val="left" w:pos="630"/>
                <w:tab w:val="left" w:pos="1080"/>
              </w:tabs>
              <w:ind w:right="-450" w:hanging="108"/>
              <w:jc w:val="center"/>
              <w:rPr>
                <w:b/>
                <w:sz w:val="20"/>
              </w:rPr>
            </w:pPr>
            <w:r w:rsidRPr="0008044C">
              <w:rPr>
                <w:b/>
                <w:sz w:val="20"/>
              </w:rPr>
              <w:t>355,892</w:t>
            </w:r>
          </w:p>
        </w:tc>
      </w:tr>
    </w:tbl>
    <w:p w:rsidR="009F66C4" w:rsidRDefault="009F66C4" w:rsidP="009F66C4">
      <w:pPr>
        <w:pStyle w:val="BodyText"/>
        <w:tabs>
          <w:tab w:val="left" w:pos="540"/>
          <w:tab w:val="left" w:pos="630"/>
          <w:tab w:val="left" w:pos="1080"/>
        </w:tabs>
        <w:ind w:left="-900" w:right="-450"/>
        <w:rPr>
          <w:sz w:val="20"/>
        </w:rPr>
      </w:pPr>
    </w:p>
    <w:p w:rsidR="00F80603" w:rsidRDefault="00F80603" w:rsidP="009F66C4">
      <w:pPr>
        <w:pStyle w:val="BodyText"/>
        <w:tabs>
          <w:tab w:val="left" w:pos="540"/>
          <w:tab w:val="left" w:pos="630"/>
          <w:tab w:val="left" w:pos="1080"/>
        </w:tabs>
        <w:ind w:left="-900" w:right="-450"/>
        <w:rPr>
          <w:sz w:val="20"/>
        </w:rPr>
      </w:pPr>
    </w:p>
    <w:p w:rsidR="001403F3" w:rsidRDefault="001403F3" w:rsidP="009F66C4">
      <w:pPr>
        <w:pStyle w:val="BodyText"/>
        <w:tabs>
          <w:tab w:val="left" w:pos="540"/>
          <w:tab w:val="left" w:pos="630"/>
          <w:tab w:val="left" w:pos="1080"/>
        </w:tabs>
        <w:ind w:left="-900" w:right="-450"/>
        <w:rPr>
          <w:sz w:val="20"/>
        </w:rPr>
      </w:pPr>
    </w:p>
    <w:p w:rsidR="00473ABE" w:rsidRDefault="00473ABE" w:rsidP="009F66C4">
      <w:pPr>
        <w:pStyle w:val="BodyText"/>
        <w:tabs>
          <w:tab w:val="left" w:pos="540"/>
          <w:tab w:val="left" w:pos="630"/>
          <w:tab w:val="left" w:pos="1080"/>
        </w:tabs>
        <w:ind w:left="-900" w:right="-450"/>
        <w:rPr>
          <w:sz w:val="20"/>
        </w:rPr>
      </w:pPr>
    </w:p>
    <w:p w:rsidR="00473ABE" w:rsidRDefault="00473ABE" w:rsidP="009F66C4">
      <w:pPr>
        <w:pStyle w:val="BodyText"/>
        <w:tabs>
          <w:tab w:val="left" w:pos="540"/>
          <w:tab w:val="left" w:pos="630"/>
          <w:tab w:val="left" w:pos="1080"/>
        </w:tabs>
        <w:ind w:left="-900" w:right="-450"/>
        <w:rPr>
          <w:sz w:val="20"/>
        </w:rPr>
      </w:pPr>
    </w:p>
    <w:p w:rsidR="00003323" w:rsidRDefault="00003323" w:rsidP="009F66C4">
      <w:pPr>
        <w:pStyle w:val="BodyText"/>
        <w:tabs>
          <w:tab w:val="left" w:pos="540"/>
          <w:tab w:val="left" w:pos="630"/>
          <w:tab w:val="left" w:pos="1080"/>
        </w:tabs>
        <w:ind w:left="-900" w:right="-450"/>
        <w:rPr>
          <w:sz w:val="20"/>
        </w:rPr>
      </w:pPr>
    </w:p>
    <w:p w:rsidR="00003323" w:rsidRDefault="00003323" w:rsidP="009F66C4">
      <w:pPr>
        <w:pStyle w:val="BodyText"/>
        <w:tabs>
          <w:tab w:val="left" w:pos="540"/>
          <w:tab w:val="left" w:pos="630"/>
          <w:tab w:val="left" w:pos="1080"/>
        </w:tabs>
        <w:ind w:left="-900" w:right="-450"/>
        <w:rPr>
          <w:sz w:val="20"/>
        </w:rPr>
      </w:pPr>
    </w:p>
    <w:p w:rsidR="00003323" w:rsidRDefault="00003323" w:rsidP="009F66C4">
      <w:pPr>
        <w:pStyle w:val="BodyText"/>
        <w:tabs>
          <w:tab w:val="left" w:pos="540"/>
          <w:tab w:val="left" w:pos="630"/>
          <w:tab w:val="left" w:pos="1080"/>
        </w:tabs>
        <w:ind w:left="-900" w:right="-450"/>
        <w:rPr>
          <w:sz w:val="20"/>
        </w:rPr>
      </w:pPr>
    </w:p>
    <w:p w:rsidR="00003323" w:rsidRDefault="00003323" w:rsidP="009F66C4">
      <w:pPr>
        <w:pStyle w:val="BodyText"/>
        <w:tabs>
          <w:tab w:val="left" w:pos="540"/>
          <w:tab w:val="left" w:pos="630"/>
          <w:tab w:val="left" w:pos="1080"/>
        </w:tabs>
        <w:ind w:left="-900" w:right="-450"/>
        <w:rPr>
          <w:sz w:val="20"/>
        </w:rPr>
      </w:pPr>
    </w:p>
    <w:p w:rsidR="00003323" w:rsidRDefault="00003323" w:rsidP="009F66C4">
      <w:pPr>
        <w:pStyle w:val="BodyText"/>
        <w:tabs>
          <w:tab w:val="left" w:pos="540"/>
          <w:tab w:val="left" w:pos="630"/>
          <w:tab w:val="left" w:pos="1080"/>
        </w:tabs>
        <w:ind w:left="-900" w:right="-450"/>
        <w:rPr>
          <w:sz w:val="20"/>
        </w:rPr>
      </w:pPr>
    </w:p>
    <w:p w:rsidR="00003323" w:rsidRDefault="00003323" w:rsidP="009F66C4">
      <w:pPr>
        <w:pStyle w:val="BodyText"/>
        <w:tabs>
          <w:tab w:val="left" w:pos="540"/>
          <w:tab w:val="left" w:pos="630"/>
          <w:tab w:val="left" w:pos="1080"/>
        </w:tabs>
        <w:ind w:left="-900" w:right="-450"/>
        <w:rPr>
          <w:sz w:val="20"/>
        </w:rPr>
      </w:pPr>
    </w:p>
    <w:p w:rsidR="00003323" w:rsidRDefault="00003323" w:rsidP="009F66C4">
      <w:pPr>
        <w:pStyle w:val="BodyText"/>
        <w:tabs>
          <w:tab w:val="left" w:pos="540"/>
          <w:tab w:val="left" w:pos="630"/>
          <w:tab w:val="left" w:pos="1080"/>
        </w:tabs>
        <w:ind w:left="-900" w:right="-450"/>
        <w:rPr>
          <w:sz w:val="20"/>
        </w:rPr>
      </w:pPr>
    </w:p>
    <w:p w:rsidR="00003323" w:rsidRDefault="00003323" w:rsidP="009F66C4">
      <w:pPr>
        <w:pStyle w:val="BodyText"/>
        <w:tabs>
          <w:tab w:val="left" w:pos="540"/>
          <w:tab w:val="left" w:pos="630"/>
          <w:tab w:val="left" w:pos="1080"/>
        </w:tabs>
        <w:ind w:left="-900" w:right="-450"/>
        <w:rPr>
          <w:sz w:val="20"/>
        </w:rPr>
      </w:pPr>
    </w:p>
    <w:p w:rsidR="00003323" w:rsidRDefault="00003323" w:rsidP="009F66C4">
      <w:pPr>
        <w:pStyle w:val="BodyText"/>
        <w:tabs>
          <w:tab w:val="left" w:pos="540"/>
          <w:tab w:val="left" w:pos="630"/>
          <w:tab w:val="left" w:pos="1080"/>
        </w:tabs>
        <w:ind w:left="-900" w:right="-450"/>
        <w:rPr>
          <w:sz w:val="20"/>
        </w:rPr>
      </w:pPr>
    </w:p>
    <w:p w:rsidR="00003323" w:rsidRDefault="00003323" w:rsidP="009F66C4">
      <w:pPr>
        <w:pStyle w:val="BodyText"/>
        <w:tabs>
          <w:tab w:val="left" w:pos="540"/>
          <w:tab w:val="left" w:pos="630"/>
          <w:tab w:val="left" w:pos="1080"/>
        </w:tabs>
        <w:ind w:left="-900" w:right="-450"/>
        <w:rPr>
          <w:sz w:val="20"/>
        </w:rPr>
      </w:pPr>
    </w:p>
    <w:p w:rsidR="00473ABE" w:rsidRDefault="00473ABE" w:rsidP="009F66C4">
      <w:pPr>
        <w:pStyle w:val="BodyText"/>
        <w:tabs>
          <w:tab w:val="left" w:pos="540"/>
          <w:tab w:val="left" w:pos="630"/>
          <w:tab w:val="left" w:pos="1080"/>
        </w:tabs>
        <w:ind w:left="-900" w:right="-450"/>
        <w:rPr>
          <w:sz w:val="20"/>
        </w:rPr>
      </w:pPr>
    </w:p>
    <w:p w:rsidR="001403F3" w:rsidRDefault="001403F3" w:rsidP="009F66C4">
      <w:pPr>
        <w:pStyle w:val="BodyText"/>
        <w:tabs>
          <w:tab w:val="left" w:pos="540"/>
          <w:tab w:val="left" w:pos="630"/>
          <w:tab w:val="left" w:pos="1080"/>
        </w:tabs>
        <w:ind w:left="-900" w:right="-450"/>
        <w:rPr>
          <w:sz w:val="20"/>
        </w:rPr>
      </w:pPr>
    </w:p>
    <w:p w:rsidR="0059386B" w:rsidRPr="002832DE" w:rsidRDefault="007341B1" w:rsidP="009F66C4">
      <w:pPr>
        <w:pStyle w:val="BodyText"/>
        <w:numPr>
          <w:ilvl w:val="0"/>
          <w:numId w:val="1"/>
        </w:numPr>
        <w:tabs>
          <w:tab w:val="left" w:pos="360"/>
          <w:tab w:val="left" w:pos="540"/>
          <w:tab w:val="left" w:pos="630"/>
          <w:tab w:val="num" w:pos="900"/>
          <w:tab w:val="left" w:pos="1080"/>
        </w:tabs>
        <w:ind w:left="900" w:right="-450" w:hanging="450"/>
        <w:rPr>
          <w:sz w:val="20"/>
        </w:rPr>
      </w:pPr>
      <w:r>
        <w:rPr>
          <w:b/>
          <w:sz w:val="20"/>
        </w:rPr>
        <w:t>S</w:t>
      </w:r>
      <w:r w:rsidR="0059386B" w:rsidRPr="002832DE">
        <w:rPr>
          <w:b/>
          <w:sz w:val="20"/>
        </w:rPr>
        <w:t>hort term borrowings</w:t>
      </w:r>
      <w:r w:rsidR="00DB08A1" w:rsidRPr="002832DE">
        <w:rPr>
          <w:b/>
          <w:sz w:val="20"/>
        </w:rPr>
        <w:t xml:space="preserve"> </w:t>
      </w:r>
    </w:p>
    <w:p w:rsidR="0059386B" w:rsidRDefault="0059386B" w:rsidP="00491580">
      <w:pPr>
        <w:pStyle w:val="BodyText"/>
        <w:tabs>
          <w:tab w:val="left" w:pos="360"/>
          <w:tab w:val="left" w:pos="540"/>
          <w:tab w:val="left" w:pos="630"/>
          <w:tab w:val="left" w:pos="1080"/>
        </w:tabs>
        <w:ind w:right="-450" w:hanging="1800"/>
        <w:rPr>
          <w:b/>
          <w:sz w:val="20"/>
        </w:rPr>
      </w:pPr>
      <w:r>
        <w:rPr>
          <w:b/>
          <w:sz w:val="20"/>
        </w:rPr>
        <w:tab/>
      </w:r>
      <w:r>
        <w:rPr>
          <w:b/>
          <w:sz w:val="20"/>
        </w:rPr>
        <w:tab/>
      </w:r>
      <w:r>
        <w:rPr>
          <w:b/>
          <w:sz w:val="20"/>
        </w:rPr>
        <w:tab/>
      </w:r>
      <w:r>
        <w:rPr>
          <w:b/>
          <w:sz w:val="20"/>
        </w:rPr>
        <w:tab/>
      </w:r>
    </w:p>
    <w:tbl>
      <w:tblPr>
        <w:tblW w:w="0" w:type="auto"/>
        <w:tblInd w:w="1008" w:type="dxa"/>
        <w:tblLayout w:type="fixed"/>
        <w:tblLook w:val="0000"/>
      </w:tblPr>
      <w:tblGrid>
        <w:gridCol w:w="5670"/>
        <w:gridCol w:w="1440"/>
      </w:tblGrid>
      <w:tr w:rsidR="000A3879">
        <w:tc>
          <w:tcPr>
            <w:tcW w:w="5670" w:type="dxa"/>
          </w:tcPr>
          <w:p w:rsidR="000A3879" w:rsidRDefault="000A3879" w:rsidP="009F66C4">
            <w:pPr>
              <w:pStyle w:val="BodyText"/>
              <w:tabs>
                <w:tab w:val="left" w:pos="360"/>
                <w:tab w:val="left" w:pos="540"/>
                <w:tab w:val="left" w:pos="630"/>
                <w:tab w:val="left" w:pos="1080"/>
              </w:tabs>
              <w:ind w:right="-108" w:hanging="108"/>
              <w:rPr>
                <w:b/>
                <w:sz w:val="20"/>
              </w:rPr>
            </w:pPr>
          </w:p>
        </w:tc>
        <w:tc>
          <w:tcPr>
            <w:tcW w:w="1440" w:type="dxa"/>
          </w:tcPr>
          <w:p w:rsidR="000A3879" w:rsidRDefault="000A3879" w:rsidP="009F66C4">
            <w:pPr>
              <w:pStyle w:val="BodyText"/>
              <w:tabs>
                <w:tab w:val="left" w:pos="360"/>
                <w:tab w:val="left" w:pos="540"/>
                <w:tab w:val="left" w:pos="630"/>
                <w:tab w:val="left" w:pos="1080"/>
              </w:tabs>
              <w:ind w:right="-108" w:hanging="108"/>
              <w:jc w:val="center"/>
              <w:rPr>
                <w:b/>
                <w:sz w:val="20"/>
              </w:rPr>
            </w:pPr>
            <w:r>
              <w:rPr>
                <w:b/>
                <w:sz w:val="20"/>
              </w:rPr>
              <w:t>RM’000</w:t>
            </w:r>
          </w:p>
        </w:tc>
      </w:tr>
      <w:tr w:rsidR="0059386B">
        <w:tc>
          <w:tcPr>
            <w:tcW w:w="5670" w:type="dxa"/>
          </w:tcPr>
          <w:p w:rsidR="0059386B" w:rsidRDefault="0059386B" w:rsidP="009F66C4">
            <w:pPr>
              <w:pStyle w:val="BodyText"/>
              <w:tabs>
                <w:tab w:val="left" w:pos="360"/>
                <w:tab w:val="left" w:pos="540"/>
                <w:tab w:val="left" w:pos="630"/>
                <w:tab w:val="left" w:pos="1080"/>
              </w:tabs>
              <w:ind w:right="-108" w:hanging="108"/>
              <w:rPr>
                <w:b/>
                <w:sz w:val="20"/>
              </w:rPr>
            </w:pPr>
            <w:r>
              <w:rPr>
                <w:b/>
                <w:sz w:val="20"/>
              </w:rPr>
              <w:t>Secured</w:t>
            </w:r>
          </w:p>
        </w:tc>
        <w:tc>
          <w:tcPr>
            <w:tcW w:w="1440" w:type="dxa"/>
          </w:tcPr>
          <w:p w:rsidR="0059386B" w:rsidRDefault="0059386B" w:rsidP="009F66C4">
            <w:pPr>
              <w:pStyle w:val="BodyText"/>
              <w:tabs>
                <w:tab w:val="left" w:pos="360"/>
                <w:tab w:val="left" w:pos="540"/>
                <w:tab w:val="left" w:pos="630"/>
                <w:tab w:val="left" w:pos="1080"/>
              </w:tabs>
              <w:ind w:right="-108" w:hanging="108"/>
              <w:jc w:val="center"/>
              <w:rPr>
                <w:b/>
                <w:sz w:val="20"/>
              </w:rPr>
            </w:pPr>
          </w:p>
        </w:tc>
      </w:tr>
      <w:tr w:rsidR="005171D9" w:rsidRPr="0008044C">
        <w:tc>
          <w:tcPr>
            <w:tcW w:w="5670" w:type="dxa"/>
          </w:tcPr>
          <w:p w:rsidR="005171D9" w:rsidRPr="0008044C" w:rsidRDefault="005171D9" w:rsidP="009F66C4">
            <w:pPr>
              <w:pStyle w:val="BodyText"/>
              <w:tabs>
                <w:tab w:val="left" w:pos="360"/>
                <w:tab w:val="left" w:pos="540"/>
                <w:tab w:val="left" w:pos="630"/>
                <w:tab w:val="left" w:pos="1080"/>
              </w:tabs>
              <w:ind w:right="-108" w:hanging="108"/>
              <w:rPr>
                <w:sz w:val="20"/>
              </w:rPr>
            </w:pPr>
            <w:r>
              <w:rPr>
                <w:sz w:val="20"/>
              </w:rPr>
              <w:t xml:space="preserve"> </w:t>
            </w:r>
            <w:r w:rsidRPr="0008044C">
              <w:rPr>
                <w:sz w:val="20"/>
              </w:rPr>
              <w:t>- Bank overdrafts</w:t>
            </w:r>
          </w:p>
        </w:tc>
        <w:tc>
          <w:tcPr>
            <w:tcW w:w="1440" w:type="dxa"/>
          </w:tcPr>
          <w:p w:rsidR="005171D9" w:rsidRPr="0008044C" w:rsidRDefault="00265B52" w:rsidP="009F66C4">
            <w:pPr>
              <w:pStyle w:val="BodyText"/>
              <w:tabs>
                <w:tab w:val="left" w:pos="360"/>
                <w:tab w:val="left" w:pos="540"/>
                <w:tab w:val="left" w:pos="630"/>
                <w:tab w:val="left" w:pos="1080"/>
              </w:tabs>
              <w:ind w:right="-108" w:hanging="108"/>
              <w:rPr>
                <w:sz w:val="20"/>
              </w:rPr>
            </w:pPr>
            <w:r w:rsidRPr="0008044C">
              <w:rPr>
                <w:sz w:val="20"/>
              </w:rPr>
              <w:t xml:space="preserve">     </w:t>
            </w:r>
            <w:r w:rsidR="009F66C4" w:rsidRPr="0008044C">
              <w:rPr>
                <w:sz w:val="20"/>
              </w:rPr>
              <w:t xml:space="preserve">   </w:t>
            </w:r>
            <w:r w:rsidR="001B23FA" w:rsidRPr="0008044C">
              <w:rPr>
                <w:sz w:val="20"/>
              </w:rPr>
              <w:t>2</w:t>
            </w:r>
            <w:r w:rsidR="00CB6A7A" w:rsidRPr="0008044C">
              <w:rPr>
                <w:sz w:val="20"/>
              </w:rPr>
              <w:t>5</w:t>
            </w:r>
            <w:r w:rsidR="0043259D" w:rsidRPr="0008044C">
              <w:rPr>
                <w:sz w:val="20"/>
              </w:rPr>
              <w:t>9,685</w:t>
            </w:r>
          </w:p>
        </w:tc>
      </w:tr>
      <w:tr w:rsidR="005171D9" w:rsidRPr="0008044C">
        <w:tc>
          <w:tcPr>
            <w:tcW w:w="5670" w:type="dxa"/>
          </w:tcPr>
          <w:p w:rsidR="005171D9" w:rsidRPr="0008044C" w:rsidRDefault="005171D9" w:rsidP="009F66C4">
            <w:pPr>
              <w:pStyle w:val="BodyText"/>
              <w:tabs>
                <w:tab w:val="left" w:pos="360"/>
                <w:tab w:val="left" w:pos="540"/>
                <w:tab w:val="left" w:pos="630"/>
                <w:tab w:val="left" w:pos="1080"/>
              </w:tabs>
              <w:ind w:right="-108" w:hanging="108"/>
              <w:rPr>
                <w:sz w:val="20"/>
              </w:rPr>
            </w:pPr>
            <w:r w:rsidRPr="0008044C">
              <w:rPr>
                <w:sz w:val="20"/>
              </w:rPr>
              <w:t xml:space="preserve"> - Revolving credits</w:t>
            </w:r>
          </w:p>
        </w:tc>
        <w:tc>
          <w:tcPr>
            <w:tcW w:w="1440" w:type="dxa"/>
          </w:tcPr>
          <w:p w:rsidR="005171D9" w:rsidRPr="0008044C" w:rsidRDefault="0043259D" w:rsidP="009F66C4">
            <w:pPr>
              <w:pStyle w:val="BodyText"/>
              <w:tabs>
                <w:tab w:val="left" w:pos="360"/>
                <w:tab w:val="left" w:pos="540"/>
                <w:tab w:val="left" w:pos="630"/>
                <w:tab w:val="left" w:pos="1080"/>
              </w:tabs>
              <w:ind w:right="-108" w:hanging="108"/>
              <w:jc w:val="center"/>
              <w:rPr>
                <w:sz w:val="20"/>
              </w:rPr>
            </w:pPr>
            <w:r w:rsidRPr="0008044C">
              <w:rPr>
                <w:sz w:val="20"/>
              </w:rPr>
              <w:t xml:space="preserve"> </w:t>
            </w:r>
            <w:r w:rsidR="00E63E0F" w:rsidRPr="0008044C">
              <w:rPr>
                <w:sz w:val="20"/>
              </w:rPr>
              <w:t>12</w:t>
            </w:r>
            <w:r w:rsidR="00CB6A7A" w:rsidRPr="0008044C">
              <w:rPr>
                <w:sz w:val="20"/>
              </w:rPr>
              <w:t>6,</w:t>
            </w:r>
            <w:r w:rsidRPr="0008044C">
              <w:rPr>
                <w:sz w:val="20"/>
              </w:rPr>
              <w:t>909</w:t>
            </w:r>
          </w:p>
        </w:tc>
      </w:tr>
      <w:tr w:rsidR="00785890" w:rsidRPr="0008044C">
        <w:tc>
          <w:tcPr>
            <w:tcW w:w="5670" w:type="dxa"/>
          </w:tcPr>
          <w:p w:rsidR="00785890" w:rsidRPr="0008044C" w:rsidRDefault="00785890" w:rsidP="009F66C4">
            <w:pPr>
              <w:pStyle w:val="BodyText"/>
              <w:tabs>
                <w:tab w:val="left" w:pos="360"/>
                <w:tab w:val="left" w:pos="540"/>
                <w:tab w:val="left" w:pos="630"/>
                <w:tab w:val="left" w:pos="1080"/>
              </w:tabs>
              <w:ind w:right="-108" w:hanging="108"/>
              <w:rPr>
                <w:sz w:val="20"/>
              </w:rPr>
            </w:pPr>
            <w:r w:rsidRPr="0008044C">
              <w:rPr>
                <w:sz w:val="20"/>
              </w:rPr>
              <w:t xml:space="preserve"> - Trust receipts and bankers' acceptances</w:t>
            </w:r>
          </w:p>
        </w:tc>
        <w:tc>
          <w:tcPr>
            <w:tcW w:w="1440" w:type="dxa"/>
          </w:tcPr>
          <w:p w:rsidR="00785890" w:rsidRPr="0008044C" w:rsidRDefault="00265B52" w:rsidP="0043259D">
            <w:pPr>
              <w:pStyle w:val="BodyText"/>
              <w:tabs>
                <w:tab w:val="left" w:pos="360"/>
                <w:tab w:val="left" w:pos="540"/>
                <w:tab w:val="left" w:pos="630"/>
                <w:tab w:val="left" w:pos="972"/>
              </w:tabs>
              <w:ind w:right="-108" w:hanging="108"/>
              <w:jc w:val="center"/>
              <w:rPr>
                <w:sz w:val="20"/>
              </w:rPr>
            </w:pPr>
            <w:r w:rsidRPr="0008044C">
              <w:rPr>
                <w:sz w:val="20"/>
              </w:rPr>
              <w:t xml:space="preserve">   </w:t>
            </w:r>
            <w:r w:rsidR="0043259D" w:rsidRPr="0008044C">
              <w:rPr>
                <w:sz w:val="20"/>
              </w:rPr>
              <w:t>10,948</w:t>
            </w:r>
          </w:p>
        </w:tc>
      </w:tr>
      <w:tr w:rsidR="00785890" w:rsidRPr="0008044C">
        <w:tc>
          <w:tcPr>
            <w:tcW w:w="5670" w:type="dxa"/>
          </w:tcPr>
          <w:p w:rsidR="00785890" w:rsidRPr="0008044C" w:rsidRDefault="00785890" w:rsidP="009F66C4">
            <w:pPr>
              <w:pStyle w:val="BodyText"/>
              <w:tabs>
                <w:tab w:val="left" w:pos="360"/>
                <w:tab w:val="left" w:pos="540"/>
                <w:tab w:val="left" w:pos="630"/>
                <w:tab w:val="left" w:pos="1080"/>
              </w:tabs>
              <w:ind w:right="-108" w:hanging="108"/>
              <w:rPr>
                <w:sz w:val="20"/>
              </w:rPr>
            </w:pPr>
            <w:r w:rsidRPr="0008044C">
              <w:rPr>
                <w:sz w:val="20"/>
              </w:rPr>
              <w:t xml:space="preserve"> - Hire purchase and lease payable due within one year</w:t>
            </w:r>
          </w:p>
        </w:tc>
        <w:tc>
          <w:tcPr>
            <w:tcW w:w="1440" w:type="dxa"/>
          </w:tcPr>
          <w:p w:rsidR="00785890" w:rsidRPr="0008044C" w:rsidRDefault="0008044C" w:rsidP="0043259D">
            <w:pPr>
              <w:pStyle w:val="BodyText"/>
              <w:tabs>
                <w:tab w:val="left" w:pos="360"/>
                <w:tab w:val="left" w:pos="540"/>
                <w:tab w:val="left" w:pos="630"/>
                <w:tab w:val="left" w:pos="972"/>
                <w:tab w:val="left" w:pos="1080"/>
              </w:tabs>
              <w:ind w:right="-108" w:hanging="108"/>
              <w:jc w:val="center"/>
              <w:rPr>
                <w:sz w:val="20"/>
              </w:rPr>
            </w:pPr>
            <w:r>
              <w:rPr>
                <w:sz w:val="20"/>
              </w:rPr>
              <w:t xml:space="preserve"> </w:t>
            </w:r>
            <w:r w:rsidR="00265B52" w:rsidRPr="0008044C">
              <w:rPr>
                <w:sz w:val="20"/>
              </w:rPr>
              <w:t xml:space="preserve">  </w:t>
            </w:r>
            <w:r w:rsidR="00AB5493" w:rsidRPr="0008044C">
              <w:rPr>
                <w:sz w:val="20"/>
              </w:rPr>
              <w:t>1</w:t>
            </w:r>
            <w:r w:rsidR="0043259D" w:rsidRPr="0008044C">
              <w:rPr>
                <w:sz w:val="20"/>
              </w:rPr>
              <w:t>7,797</w:t>
            </w:r>
          </w:p>
        </w:tc>
      </w:tr>
      <w:tr w:rsidR="00785890" w:rsidRPr="0008044C">
        <w:tc>
          <w:tcPr>
            <w:tcW w:w="5670" w:type="dxa"/>
          </w:tcPr>
          <w:p w:rsidR="00785890" w:rsidRPr="0008044C" w:rsidRDefault="00785890" w:rsidP="009F66C4">
            <w:pPr>
              <w:pStyle w:val="BodyText"/>
              <w:tabs>
                <w:tab w:val="left" w:pos="360"/>
                <w:tab w:val="left" w:pos="540"/>
                <w:tab w:val="left" w:pos="630"/>
                <w:tab w:val="left" w:pos="1080"/>
              </w:tabs>
              <w:ind w:right="-108" w:hanging="108"/>
              <w:rPr>
                <w:sz w:val="20"/>
              </w:rPr>
            </w:pPr>
            <w:r w:rsidRPr="0008044C">
              <w:rPr>
                <w:sz w:val="20"/>
              </w:rPr>
              <w:t xml:space="preserve"> - Term loans</w:t>
            </w:r>
          </w:p>
        </w:tc>
        <w:tc>
          <w:tcPr>
            <w:tcW w:w="1440" w:type="dxa"/>
          </w:tcPr>
          <w:p w:rsidR="00785890" w:rsidRPr="0008044C" w:rsidRDefault="0008044C" w:rsidP="009F66C4">
            <w:pPr>
              <w:pStyle w:val="BodyText"/>
              <w:tabs>
                <w:tab w:val="left" w:pos="360"/>
                <w:tab w:val="left" w:pos="540"/>
                <w:tab w:val="left" w:pos="630"/>
                <w:tab w:val="left" w:pos="1080"/>
              </w:tabs>
              <w:ind w:right="-108" w:hanging="108"/>
              <w:jc w:val="center"/>
              <w:rPr>
                <w:sz w:val="20"/>
              </w:rPr>
            </w:pPr>
            <w:r>
              <w:rPr>
                <w:sz w:val="20"/>
              </w:rPr>
              <w:t xml:space="preserve"> </w:t>
            </w:r>
            <w:r w:rsidR="00887E7B" w:rsidRPr="0008044C">
              <w:rPr>
                <w:sz w:val="20"/>
              </w:rPr>
              <w:t xml:space="preserve">  </w:t>
            </w:r>
            <w:r w:rsidR="0043259D" w:rsidRPr="0008044C">
              <w:rPr>
                <w:sz w:val="20"/>
              </w:rPr>
              <w:t>40,45</w:t>
            </w:r>
            <w:r>
              <w:rPr>
                <w:sz w:val="20"/>
              </w:rPr>
              <w:t>3</w:t>
            </w:r>
          </w:p>
        </w:tc>
      </w:tr>
      <w:tr w:rsidR="00785890" w:rsidRPr="0008044C">
        <w:tc>
          <w:tcPr>
            <w:tcW w:w="5670" w:type="dxa"/>
          </w:tcPr>
          <w:p w:rsidR="00785890" w:rsidRPr="0008044C" w:rsidRDefault="00785890" w:rsidP="009F66C4">
            <w:pPr>
              <w:pStyle w:val="BodyText"/>
              <w:tabs>
                <w:tab w:val="left" w:pos="360"/>
                <w:tab w:val="left" w:pos="540"/>
                <w:tab w:val="left" w:pos="630"/>
                <w:tab w:val="left" w:pos="1080"/>
              </w:tabs>
              <w:ind w:right="-108" w:hanging="108"/>
              <w:rPr>
                <w:sz w:val="20"/>
              </w:rPr>
            </w:pPr>
            <w:r w:rsidRPr="0008044C">
              <w:rPr>
                <w:sz w:val="20"/>
              </w:rPr>
              <w:t xml:space="preserve"> - Portion of long term loans payable within one year</w:t>
            </w:r>
          </w:p>
        </w:tc>
        <w:tc>
          <w:tcPr>
            <w:tcW w:w="1440" w:type="dxa"/>
          </w:tcPr>
          <w:p w:rsidR="00785890" w:rsidRPr="0008044C" w:rsidRDefault="0008044C" w:rsidP="009F66C4">
            <w:pPr>
              <w:pStyle w:val="BodyText"/>
              <w:tabs>
                <w:tab w:val="left" w:pos="360"/>
                <w:tab w:val="left" w:pos="540"/>
                <w:tab w:val="left" w:pos="630"/>
                <w:tab w:val="left" w:pos="1080"/>
              </w:tabs>
              <w:ind w:right="-108" w:hanging="108"/>
              <w:jc w:val="center"/>
              <w:rPr>
                <w:sz w:val="20"/>
              </w:rPr>
            </w:pPr>
            <w:r>
              <w:rPr>
                <w:sz w:val="20"/>
              </w:rPr>
              <w:t xml:space="preserve">  </w:t>
            </w:r>
            <w:r w:rsidR="00AB5493" w:rsidRPr="0008044C">
              <w:rPr>
                <w:sz w:val="20"/>
              </w:rPr>
              <w:t xml:space="preserve"> </w:t>
            </w:r>
            <w:r w:rsidR="00265B52" w:rsidRPr="0008044C">
              <w:rPr>
                <w:sz w:val="20"/>
              </w:rPr>
              <w:t xml:space="preserve"> </w:t>
            </w:r>
            <w:r w:rsidR="007265BA" w:rsidRPr="0008044C">
              <w:rPr>
                <w:sz w:val="20"/>
              </w:rPr>
              <w:t xml:space="preserve"> </w:t>
            </w:r>
            <w:r w:rsidR="0043259D" w:rsidRPr="0008044C">
              <w:rPr>
                <w:sz w:val="20"/>
              </w:rPr>
              <w:t>4,495</w:t>
            </w:r>
          </w:p>
        </w:tc>
      </w:tr>
      <w:tr w:rsidR="00785890" w:rsidRPr="0008044C" w:rsidTr="007265BA">
        <w:tc>
          <w:tcPr>
            <w:tcW w:w="5670" w:type="dxa"/>
          </w:tcPr>
          <w:p w:rsidR="00785890" w:rsidRPr="0008044C" w:rsidRDefault="00785890" w:rsidP="009F66C4">
            <w:pPr>
              <w:pStyle w:val="BodyText"/>
              <w:tabs>
                <w:tab w:val="left" w:pos="360"/>
                <w:tab w:val="left" w:pos="540"/>
                <w:tab w:val="left" w:pos="630"/>
                <w:tab w:val="left" w:pos="1080"/>
              </w:tabs>
              <w:ind w:right="-108" w:hanging="108"/>
              <w:rPr>
                <w:sz w:val="20"/>
              </w:rPr>
            </w:pPr>
            <w:r w:rsidRPr="0008044C">
              <w:rPr>
                <w:sz w:val="20"/>
              </w:rPr>
              <w:t xml:space="preserve"> - Commercial papers</w:t>
            </w:r>
          </w:p>
        </w:tc>
        <w:tc>
          <w:tcPr>
            <w:tcW w:w="1440" w:type="dxa"/>
          </w:tcPr>
          <w:p w:rsidR="00785890" w:rsidRPr="0008044C" w:rsidRDefault="00265B52" w:rsidP="009F66C4">
            <w:pPr>
              <w:pStyle w:val="BodyText"/>
              <w:tabs>
                <w:tab w:val="left" w:pos="360"/>
                <w:tab w:val="left" w:pos="540"/>
                <w:tab w:val="left" w:pos="630"/>
                <w:tab w:val="left" w:pos="1080"/>
              </w:tabs>
              <w:ind w:right="-108" w:hanging="108"/>
              <w:rPr>
                <w:sz w:val="20"/>
              </w:rPr>
            </w:pPr>
            <w:r w:rsidRPr="0008044C">
              <w:rPr>
                <w:sz w:val="20"/>
              </w:rPr>
              <w:t xml:space="preserve">     </w:t>
            </w:r>
            <w:r w:rsidR="00661AAD" w:rsidRPr="0008044C">
              <w:rPr>
                <w:sz w:val="20"/>
              </w:rPr>
              <w:t xml:space="preserve"> </w:t>
            </w:r>
            <w:r w:rsidR="009F66C4" w:rsidRPr="0008044C">
              <w:rPr>
                <w:sz w:val="20"/>
              </w:rPr>
              <w:t xml:space="preserve"> </w:t>
            </w:r>
            <w:r w:rsidRPr="0008044C">
              <w:rPr>
                <w:sz w:val="20"/>
              </w:rPr>
              <w:t xml:space="preserve"> </w:t>
            </w:r>
            <w:r w:rsidR="00513185" w:rsidRPr="0008044C">
              <w:rPr>
                <w:sz w:val="20"/>
              </w:rPr>
              <w:t>2</w:t>
            </w:r>
            <w:r w:rsidR="00CB6A7A" w:rsidRPr="0008044C">
              <w:rPr>
                <w:sz w:val="20"/>
              </w:rPr>
              <w:t>7</w:t>
            </w:r>
            <w:r w:rsidR="0043259D" w:rsidRPr="0008044C">
              <w:rPr>
                <w:sz w:val="20"/>
              </w:rPr>
              <w:t>6,767</w:t>
            </w:r>
          </w:p>
        </w:tc>
      </w:tr>
      <w:tr w:rsidR="00785890" w:rsidRPr="0008044C">
        <w:tc>
          <w:tcPr>
            <w:tcW w:w="5670" w:type="dxa"/>
          </w:tcPr>
          <w:p w:rsidR="00785890" w:rsidRPr="0008044C" w:rsidRDefault="00785890" w:rsidP="009F66C4">
            <w:pPr>
              <w:pStyle w:val="BodyText"/>
              <w:tabs>
                <w:tab w:val="left" w:pos="360"/>
                <w:tab w:val="left" w:pos="540"/>
                <w:tab w:val="left" w:pos="630"/>
                <w:tab w:val="left" w:pos="1080"/>
              </w:tabs>
              <w:ind w:right="-108" w:hanging="108"/>
              <w:rPr>
                <w:sz w:val="20"/>
              </w:rPr>
            </w:pPr>
            <w:r w:rsidRPr="0008044C">
              <w:rPr>
                <w:sz w:val="20"/>
              </w:rPr>
              <w:t xml:space="preserve"> Sub-total</w:t>
            </w:r>
          </w:p>
        </w:tc>
        <w:tc>
          <w:tcPr>
            <w:tcW w:w="1440" w:type="dxa"/>
            <w:tcBorders>
              <w:top w:val="single" w:sz="8" w:space="0" w:color="000000"/>
              <w:bottom w:val="single" w:sz="8" w:space="0" w:color="000000"/>
            </w:tcBorders>
          </w:tcPr>
          <w:p w:rsidR="00785890" w:rsidRPr="0008044C" w:rsidRDefault="0008044C" w:rsidP="0078310D">
            <w:pPr>
              <w:pStyle w:val="BodyText"/>
              <w:tabs>
                <w:tab w:val="left" w:pos="360"/>
                <w:tab w:val="left" w:pos="540"/>
                <w:tab w:val="left" w:pos="630"/>
                <w:tab w:val="left" w:pos="810"/>
                <w:tab w:val="left" w:pos="1080"/>
              </w:tabs>
              <w:ind w:right="-108" w:hanging="108"/>
              <w:jc w:val="center"/>
              <w:rPr>
                <w:sz w:val="20"/>
              </w:rPr>
            </w:pPr>
            <w:r>
              <w:rPr>
                <w:sz w:val="20"/>
              </w:rPr>
              <w:t xml:space="preserve"> </w:t>
            </w:r>
            <w:r w:rsidR="00451E22" w:rsidRPr="0008044C">
              <w:rPr>
                <w:sz w:val="20"/>
              </w:rPr>
              <w:t>7</w:t>
            </w:r>
            <w:r w:rsidR="0043259D" w:rsidRPr="0008044C">
              <w:rPr>
                <w:sz w:val="20"/>
              </w:rPr>
              <w:t>37,05</w:t>
            </w:r>
            <w:r>
              <w:rPr>
                <w:sz w:val="20"/>
              </w:rPr>
              <w:t>4</w:t>
            </w:r>
          </w:p>
        </w:tc>
      </w:tr>
    </w:tbl>
    <w:p w:rsidR="0059386B" w:rsidRPr="0008044C" w:rsidRDefault="0059386B" w:rsidP="00491580">
      <w:pPr>
        <w:pStyle w:val="BodyText"/>
        <w:tabs>
          <w:tab w:val="left" w:pos="360"/>
          <w:tab w:val="left" w:pos="540"/>
          <w:tab w:val="left" w:pos="630"/>
          <w:tab w:val="left" w:pos="1080"/>
        </w:tabs>
        <w:ind w:right="-450" w:hanging="1800"/>
        <w:rPr>
          <w:b/>
          <w:sz w:val="20"/>
        </w:rPr>
      </w:pPr>
      <w:r w:rsidRPr="0008044C">
        <w:rPr>
          <w:b/>
          <w:sz w:val="20"/>
        </w:rPr>
        <w:tab/>
      </w:r>
      <w:r w:rsidRPr="0008044C">
        <w:rPr>
          <w:b/>
          <w:sz w:val="20"/>
        </w:rPr>
        <w:tab/>
      </w:r>
    </w:p>
    <w:tbl>
      <w:tblPr>
        <w:tblW w:w="0" w:type="auto"/>
        <w:tblInd w:w="1008" w:type="dxa"/>
        <w:tblLayout w:type="fixed"/>
        <w:tblLook w:val="0000"/>
      </w:tblPr>
      <w:tblGrid>
        <w:gridCol w:w="5670"/>
        <w:gridCol w:w="1440"/>
      </w:tblGrid>
      <w:tr w:rsidR="0059386B" w:rsidRPr="0008044C">
        <w:tc>
          <w:tcPr>
            <w:tcW w:w="5670" w:type="dxa"/>
          </w:tcPr>
          <w:p w:rsidR="0059386B" w:rsidRPr="0008044C" w:rsidRDefault="0059386B" w:rsidP="009F66C4">
            <w:pPr>
              <w:pStyle w:val="BodyText"/>
              <w:tabs>
                <w:tab w:val="left" w:pos="360"/>
                <w:tab w:val="left" w:pos="540"/>
                <w:tab w:val="left" w:pos="630"/>
                <w:tab w:val="left" w:pos="1080"/>
              </w:tabs>
              <w:ind w:left="360" w:right="-450" w:hanging="468"/>
              <w:rPr>
                <w:b/>
                <w:sz w:val="20"/>
              </w:rPr>
            </w:pPr>
          </w:p>
          <w:p w:rsidR="0059386B" w:rsidRPr="0008044C" w:rsidRDefault="0059386B" w:rsidP="009F66C4">
            <w:pPr>
              <w:pStyle w:val="BodyText"/>
              <w:tabs>
                <w:tab w:val="left" w:pos="360"/>
                <w:tab w:val="left" w:pos="540"/>
                <w:tab w:val="left" w:pos="630"/>
                <w:tab w:val="left" w:pos="1080"/>
              </w:tabs>
              <w:ind w:left="360" w:right="-450" w:hanging="468"/>
              <w:rPr>
                <w:b/>
                <w:sz w:val="20"/>
              </w:rPr>
            </w:pPr>
            <w:r w:rsidRPr="0008044C">
              <w:rPr>
                <w:b/>
                <w:sz w:val="20"/>
              </w:rPr>
              <w:t>Unsecured</w:t>
            </w:r>
          </w:p>
        </w:tc>
        <w:tc>
          <w:tcPr>
            <w:tcW w:w="1440" w:type="dxa"/>
          </w:tcPr>
          <w:p w:rsidR="0059386B" w:rsidRPr="0008044C" w:rsidRDefault="0059386B" w:rsidP="009F66C4">
            <w:pPr>
              <w:pStyle w:val="BodyText"/>
              <w:tabs>
                <w:tab w:val="left" w:pos="360"/>
                <w:tab w:val="left" w:pos="540"/>
                <w:tab w:val="left" w:pos="630"/>
                <w:tab w:val="left" w:pos="1080"/>
              </w:tabs>
              <w:ind w:left="360" w:right="-450" w:firstLine="540"/>
              <w:jc w:val="center"/>
              <w:rPr>
                <w:sz w:val="20"/>
              </w:rPr>
            </w:pPr>
          </w:p>
          <w:p w:rsidR="0059386B" w:rsidRPr="0008044C" w:rsidRDefault="0059386B" w:rsidP="009F66C4">
            <w:pPr>
              <w:pStyle w:val="BodyText"/>
              <w:tabs>
                <w:tab w:val="left" w:pos="360"/>
                <w:tab w:val="left" w:pos="540"/>
                <w:tab w:val="left" w:pos="630"/>
                <w:tab w:val="left" w:pos="1080"/>
              </w:tabs>
              <w:ind w:left="360" w:right="-450" w:firstLine="540"/>
              <w:jc w:val="center"/>
              <w:rPr>
                <w:b/>
                <w:sz w:val="20"/>
              </w:rPr>
            </w:pPr>
          </w:p>
        </w:tc>
      </w:tr>
      <w:tr w:rsidR="00D456ED" w:rsidRPr="0008044C">
        <w:tc>
          <w:tcPr>
            <w:tcW w:w="5670" w:type="dxa"/>
          </w:tcPr>
          <w:p w:rsidR="00D456ED" w:rsidRPr="0008044C" w:rsidRDefault="00D456ED" w:rsidP="009F66C4">
            <w:pPr>
              <w:pStyle w:val="BodyText"/>
              <w:tabs>
                <w:tab w:val="left" w:pos="360"/>
                <w:tab w:val="left" w:pos="540"/>
                <w:tab w:val="left" w:pos="630"/>
                <w:tab w:val="left" w:pos="1080"/>
              </w:tabs>
              <w:ind w:left="360" w:right="-450" w:hanging="468"/>
              <w:rPr>
                <w:sz w:val="20"/>
              </w:rPr>
            </w:pPr>
            <w:r w:rsidRPr="0008044C">
              <w:rPr>
                <w:sz w:val="20"/>
              </w:rPr>
              <w:t xml:space="preserve"> - Portion of long term loans payable within one year</w:t>
            </w:r>
          </w:p>
        </w:tc>
        <w:tc>
          <w:tcPr>
            <w:tcW w:w="1440" w:type="dxa"/>
          </w:tcPr>
          <w:p w:rsidR="00D456ED" w:rsidRPr="0008044C" w:rsidRDefault="00E00805" w:rsidP="009F66C4">
            <w:pPr>
              <w:pStyle w:val="BodyText"/>
              <w:tabs>
                <w:tab w:val="left" w:pos="360"/>
                <w:tab w:val="left" w:pos="540"/>
                <w:tab w:val="left" w:pos="630"/>
                <w:tab w:val="left" w:pos="1080"/>
              </w:tabs>
              <w:ind w:left="360" w:right="-108" w:hanging="468"/>
              <w:jc w:val="center"/>
              <w:rPr>
                <w:sz w:val="20"/>
              </w:rPr>
            </w:pPr>
            <w:r w:rsidRPr="0008044C">
              <w:rPr>
                <w:sz w:val="20"/>
              </w:rPr>
              <w:t xml:space="preserve"> </w:t>
            </w:r>
            <w:r w:rsidR="00513185" w:rsidRPr="0008044C">
              <w:rPr>
                <w:sz w:val="20"/>
              </w:rPr>
              <w:t xml:space="preserve"> </w:t>
            </w:r>
            <w:r w:rsidR="0078310D" w:rsidRPr="0008044C">
              <w:rPr>
                <w:sz w:val="20"/>
              </w:rPr>
              <w:t xml:space="preserve"> </w:t>
            </w:r>
            <w:r w:rsidR="00513185" w:rsidRPr="0008044C">
              <w:rPr>
                <w:sz w:val="20"/>
              </w:rPr>
              <w:t xml:space="preserve"> </w:t>
            </w:r>
            <w:r w:rsidR="0043259D" w:rsidRPr="0008044C">
              <w:rPr>
                <w:sz w:val="20"/>
              </w:rPr>
              <w:t>3,000</w:t>
            </w:r>
          </w:p>
        </w:tc>
      </w:tr>
      <w:tr w:rsidR="0059386B" w:rsidRPr="00E00805">
        <w:tc>
          <w:tcPr>
            <w:tcW w:w="5670" w:type="dxa"/>
          </w:tcPr>
          <w:p w:rsidR="0059386B" w:rsidRPr="0008044C" w:rsidRDefault="00C3493D" w:rsidP="009F66C4">
            <w:pPr>
              <w:pStyle w:val="BodyText"/>
              <w:tabs>
                <w:tab w:val="left" w:pos="360"/>
                <w:tab w:val="left" w:pos="540"/>
                <w:tab w:val="left" w:pos="630"/>
                <w:tab w:val="left" w:pos="1080"/>
              </w:tabs>
              <w:ind w:left="360" w:right="-108" w:hanging="468"/>
              <w:rPr>
                <w:sz w:val="20"/>
              </w:rPr>
            </w:pPr>
            <w:r w:rsidRPr="0008044C">
              <w:rPr>
                <w:b/>
                <w:sz w:val="20"/>
              </w:rPr>
              <w:t xml:space="preserve"> </w:t>
            </w:r>
            <w:r w:rsidR="0059386B" w:rsidRPr="0008044C">
              <w:rPr>
                <w:b/>
                <w:sz w:val="20"/>
              </w:rPr>
              <w:t>Total</w:t>
            </w:r>
            <w:r w:rsidR="00E00805" w:rsidRPr="0008044C">
              <w:rPr>
                <w:b/>
                <w:sz w:val="20"/>
              </w:rPr>
              <w:t xml:space="preserve"> </w:t>
            </w:r>
          </w:p>
        </w:tc>
        <w:tc>
          <w:tcPr>
            <w:tcW w:w="1440" w:type="dxa"/>
            <w:tcBorders>
              <w:top w:val="single" w:sz="8" w:space="0" w:color="000000"/>
              <w:bottom w:val="single" w:sz="12" w:space="0" w:color="000000"/>
            </w:tcBorders>
          </w:tcPr>
          <w:p w:rsidR="0059386B" w:rsidRPr="0008044C" w:rsidRDefault="00451E22" w:rsidP="009F66C4">
            <w:pPr>
              <w:pStyle w:val="BodyText"/>
              <w:tabs>
                <w:tab w:val="left" w:pos="360"/>
                <w:tab w:val="left" w:pos="540"/>
                <w:tab w:val="left" w:pos="630"/>
                <w:tab w:val="left" w:pos="1080"/>
              </w:tabs>
              <w:ind w:left="360" w:right="-108" w:hanging="468"/>
              <w:jc w:val="center"/>
              <w:rPr>
                <w:sz w:val="20"/>
              </w:rPr>
            </w:pPr>
            <w:r w:rsidRPr="0008044C">
              <w:rPr>
                <w:sz w:val="20"/>
              </w:rPr>
              <w:t>7</w:t>
            </w:r>
            <w:r w:rsidR="0043259D" w:rsidRPr="0008044C">
              <w:rPr>
                <w:sz w:val="20"/>
              </w:rPr>
              <w:t>40,05</w:t>
            </w:r>
            <w:r w:rsidR="0008044C">
              <w:rPr>
                <w:sz w:val="20"/>
              </w:rPr>
              <w:t>4</w:t>
            </w:r>
          </w:p>
        </w:tc>
      </w:tr>
    </w:tbl>
    <w:p w:rsidR="00A43AE0" w:rsidRPr="00E00805" w:rsidRDefault="00A43AE0" w:rsidP="009F66C4">
      <w:pPr>
        <w:pStyle w:val="BodyText"/>
        <w:tabs>
          <w:tab w:val="left" w:pos="360"/>
          <w:tab w:val="left" w:pos="540"/>
          <w:tab w:val="left" w:pos="630"/>
          <w:tab w:val="left" w:pos="1080"/>
        </w:tabs>
        <w:ind w:right="-450" w:firstLine="540"/>
        <w:rPr>
          <w:sz w:val="20"/>
        </w:rPr>
      </w:pPr>
    </w:p>
    <w:p w:rsidR="00577B11" w:rsidRPr="00E00805" w:rsidRDefault="0059386B" w:rsidP="00491580">
      <w:pPr>
        <w:pStyle w:val="BodyText"/>
        <w:tabs>
          <w:tab w:val="left" w:pos="360"/>
          <w:tab w:val="left" w:pos="540"/>
          <w:tab w:val="left" w:pos="630"/>
          <w:tab w:val="left" w:pos="1080"/>
        </w:tabs>
        <w:ind w:right="-450" w:hanging="1800"/>
        <w:rPr>
          <w:sz w:val="20"/>
        </w:rPr>
      </w:pPr>
      <w:r w:rsidRPr="00E00805">
        <w:rPr>
          <w:sz w:val="20"/>
        </w:rPr>
        <w:tab/>
      </w:r>
      <w:r w:rsidRPr="00E00805">
        <w:rPr>
          <w:sz w:val="20"/>
        </w:rPr>
        <w:tab/>
      </w:r>
    </w:p>
    <w:p w:rsidR="0059386B" w:rsidRPr="00E00805" w:rsidRDefault="008E3A72" w:rsidP="00491580">
      <w:pPr>
        <w:pStyle w:val="BodyText"/>
        <w:tabs>
          <w:tab w:val="left" w:pos="360"/>
          <w:tab w:val="left" w:pos="540"/>
          <w:tab w:val="left" w:pos="630"/>
          <w:tab w:val="left" w:pos="1080"/>
        </w:tabs>
        <w:ind w:right="-450" w:hanging="1800"/>
        <w:rPr>
          <w:sz w:val="20"/>
        </w:rPr>
      </w:pPr>
      <w:r w:rsidRPr="00E00805">
        <w:rPr>
          <w:sz w:val="20"/>
        </w:rPr>
        <w:tab/>
      </w:r>
      <w:r w:rsidRPr="00E00805">
        <w:rPr>
          <w:sz w:val="20"/>
        </w:rPr>
        <w:tab/>
      </w:r>
      <w:r w:rsidRPr="00E00805">
        <w:rPr>
          <w:sz w:val="20"/>
        </w:rPr>
        <w:tab/>
        <w:t xml:space="preserve">     </w:t>
      </w:r>
      <w:r w:rsidR="0059386B" w:rsidRPr="00E00805">
        <w:rPr>
          <w:sz w:val="20"/>
        </w:rPr>
        <w:t>Borrowings denominated in foreign currencies are as follows:-</w:t>
      </w:r>
    </w:p>
    <w:tbl>
      <w:tblPr>
        <w:tblW w:w="0" w:type="auto"/>
        <w:tblInd w:w="1008" w:type="dxa"/>
        <w:tblLayout w:type="fixed"/>
        <w:tblLook w:val="0000"/>
      </w:tblPr>
      <w:tblGrid>
        <w:gridCol w:w="5670"/>
        <w:gridCol w:w="1440"/>
      </w:tblGrid>
      <w:tr w:rsidR="0059386B" w:rsidRPr="00E00805">
        <w:tc>
          <w:tcPr>
            <w:tcW w:w="5670" w:type="dxa"/>
          </w:tcPr>
          <w:p w:rsidR="0059386B" w:rsidRPr="00E00805" w:rsidRDefault="0059386B" w:rsidP="00361F69">
            <w:pPr>
              <w:pStyle w:val="BodyText"/>
              <w:tabs>
                <w:tab w:val="left" w:pos="360"/>
                <w:tab w:val="left" w:pos="540"/>
                <w:tab w:val="left" w:pos="630"/>
                <w:tab w:val="left" w:pos="1080"/>
              </w:tabs>
              <w:ind w:right="-450" w:hanging="108"/>
              <w:rPr>
                <w:b/>
                <w:sz w:val="20"/>
              </w:rPr>
            </w:pPr>
          </w:p>
        </w:tc>
        <w:tc>
          <w:tcPr>
            <w:tcW w:w="1440" w:type="dxa"/>
            <w:tcBorders>
              <w:bottom w:val="single" w:sz="4" w:space="0" w:color="auto"/>
            </w:tcBorders>
          </w:tcPr>
          <w:p w:rsidR="00361F69" w:rsidRPr="00E00805" w:rsidRDefault="0059386B" w:rsidP="00361F69">
            <w:pPr>
              <w:pStyle w:val="BodyText"/>
              <w:tabs>
                <w:tab w:val="left" w:pos="360"/>
                <w:tab w:val="left" w:pos="540"/>
                <w:tab w:val="left" w:pos="630"/>
                <w:tab w:val="left" w:pos="1080"/>
              </w:tabs>
              <w:ind w:right="-108" w:hanging="108"/>
              <w:jc w:val="center"/>
              <w:rPr>
                <w:sz w:val="20"/>
              </w:rPr>
            </w:pPr>
            <w:r w:rsidRPr="00E00805">
              <w:rPr>
                <w:sz w:val="20"/>
              </w:rPr>
              <w:t xml:space="preserve">Foreign </w:t>
            </w:r>
          </w:p>
          <w:p w:rsidR="0059386B" w:rsidRPr="00E00805" w:rsidRDefault="0059386B" w:rsidP="00361F69">
            <w:pPr>
              <w:pStyle w:val="BodyText"/>
              <w:tabs>
                <w:tab w:val="left" w:pos="360"/>
                <w:tab w:val="left" w:pos="540"/>
                <w:tab w:val="left" w:pos="630"/>
                <w:tab w:val="left" w:pos="1080"/>
              </w:tabs>
              <w:ind w:right="-108" w:hanging="108"/>
              <w:jc w:val="center"/>
              <w:rPr>
                <w:sz w:val="20"/>
              </w:rPr>
            </w:pPr>
            <w:r w:rsidRPr="00E00805">
              <w:rPr>
                <w:sz w:val="20"/>
              </w:rPr>
              <w:t>Currency</w:t>
            </w:r>
          </w:p>
          <w:p w:rsidR="0059386B" w:rsidRPr="00E00805" w:rsidRDefault="0059386B" w:rsidP="00361F69">
            <w:pPr>
              <w:pStyle w:val="BodyText"/>
              <w:tabs>
                <w:tab w:val="left" w:pos="360"/>
                <w:tab w:val="left" w:pos="540"/>
                <w:tab w:val="left" w:pos="630"/>
                <w:tab w:val="left" w:pos="1080"/>
              </w:tabs>
              <w:ind w:right="-108" w:hanging="108"/>
              <w:jc w:val="center"/>
              <w:rPr>
                <w:sz w:val="20"/>
              </w:rPr>
            </w:pPr>
            <w:r w:rsidRPr="00E00805">
              <w:rPr>
                <w:sz w:val="20"/>
              </w:rPr>
              <w:t>’000</w:t>
            </w:r>
          </w:p>
        </w:tc>
      </w:tr>
      <w:tr w:rsidR="0059386B" w:rsidRPr="00E00805">
        <w:tc>
          <w:tcPr>
            <w:tcW w:w="5670" w:type="dxa"/>
          </w:tcPr>
          <w:p w:rsidR="0059386B" w:rsidRPr="00E00805" w:rsidRDefault="0059386B" w:rsidP="00361F69">
            <w:pPr>
              <w:pStyle w:val="BodyText"/>
              <w:tabs>
                <w:tab w:val="left" w:pos="360"/>
                <w:tab w:val="left" w:pos="540"/>
                <w:tab w:val="left" w:pos="630"/>
                <w:tab w:val="left" w:pos="1080"/>
              </w:tabs>
              <w:ind w:right="-450" w:hanging="108"/>
              <w:rPr>
                <w:sz w:val="20"/>
              </w:rPr>
            </w:pPr>
            <w:r w:rsidRPr="00E00805">
              <w:rPr>
                <w:sz w:val="20"/>
              </w:rPr>
              <w:t>Fijian Dollar</w:t>
            </w:r>
          </w:p>
        </w:tc>
        <w:tc>
          <w:tcPr>
            <w:tcW w:w="1440" w:type="dxa"/>
            <w:tcBorders>
              <w:top w:val="single" w:sz="4" w:space="0" w:color="auto"/>
              <w:left w:val="single" w:sz="4" w:space="0" w:color="auto"/>
              <w:right w:val="single" w:sz="4" w:space="0" w:color="auto"/>
            </w:tcBorders>
          </w:tcPr>
          <w:p w:rsidR="0059386B" w:rsidRPr="0008044C" w:rsidRDefault="00513185" w:rsidP="0043259D">
            <w:pPr>
              <w:pStyle w:val="BodyText"/>
              <w:tabs>
                <w:tab w:val="left" w:pos="360"/>
                <w:tab w:val="left" w:pos="540"/>
                <w:tab w:val="left" w:pos="630"/>
                <w:tab w:val="left" w:pos="1080"/>
              </w:tabs>
              <w:ind w:right="-450" w:hanging="108"/>
              <w:jc w:val="center"/>
              <w:rPr>
                <w:sz w:val="20"/>
              </w:rPr>
            </w:pPr>
            <w:r w:rsidRPr="0008044C">
              <w:rPr>
                <w:sz w:val="20"/>
              </w:rPr>
              <w:t>1</w:t>
            </w:r>
            <w:r w:rsidR="0043259D" w:rsidRPr="0008044C">
              <w:rPr>
                <w:sz w:val="20"/>
              </w:rPr>
              <w:t>10,457</w:t>
            </w:r>
          </w:p>
        </w:tc>
      </w:tr>
      <w:tr w:rsidR="0059386B" w:rsidRPr="00E00805">
        <w:tc>
          <w:tcPr>
            <w:tcW w:w="5670" w:type="dxa"/>
          </w:tcPr>
          <w:p w:rsidR="0059386B" w:rsidRPr="00E00805" w:rsidRDefault="00A97B8A" w:rsidP="00361F69">
            <w:pPr>
              <w:pStyle w:val="BodyText"/>
              <w:tabs>
                <w:tab w:val="left" w:pos="360"/>
                <w:tab w:val="left" w:pos="540"/>
                <w:tab w:val="left" w:pos="630"/>
                <w:tab w:val="left" w:pos="1080"/>
              </w:tabs>
              <w:ind w:right="-450" w:hanging="108"/>
              <w:rPr>
                <w:sz w:val="20"/>
              </w:rPr>
            </w:pPr>
            <w:r>
              <w:rPr>
                <w:sz w:val="20"/>
              </w:rPr>
              <w:t xml:space="preserve">Papua New Guinea </w:t>
            </w:r>
            <w:r w:rsidR="0059386B" w:rsidRPr="00E00805">
              <w:rPr>
                <w:sz w:val="20"/>
              </w:rPr>
              <w:t>Kina</w:t>
            </w:r>
          </w:p>
        </w:tc>
        <w:tc>
          <w:tcPr>
            <w:tcW w:w="1440" w:type="dxa"/>
            <w:tcBorders>
              <w:left w:val="single" w:sz="4" w:space="0" w:color="auto"/>
              <w:right w:val="single" w:sz="4" w:space="0" w:color="auto"/>
            </w:tcBorders>
          </w:tcPr>
          <w:p w:rsidR="0059386B" w:rsidRPr="0008044C" w:rsidRDefault="00CB6A7A" w:rsidP="0041031F">
            <w:pPr>
              <w:pStyle w:val="BodyText"/>
              <w:tabs>
                <w:tab w:val="left" w:pos="360"/>
                <w:tab w:val="left" w:pos="540"/>
                <w:tab w:val="left" w:pos="630"/>
                <w:tab w:val="left" w:pos="1080"/>
              </w:tabs>
              <w:ind w:right="-450" w:hanging="108"/>
              <w:jc w:val="center"/>
              <w:rPr>
                <w:sz w:val="20"/>
              </w:rPr>
            </w:pPr>
            <w:r w:rsidRPr="0008044C">
              <w:rPr>
                <w:sz w:val="20"/>
              </w:rPr>
              <w:t>2</w:t>
            </w:r>
            <w:r w:rsidR="0041031F">
              <w:rPr>
                <w:sz w:val="20"/>
              </w:rPr>
              <w:t>78</w:t>
            </w:r>
            <w:r w:rsidR="0043259D" w:rsidRPr="0008044C">
              <w:rPr>
                <w:sz w:val="20"/>
              </w:rPr>
              <w:t>,</w:t>
            </w:r>
            <w:r w:rsidR="0041031F">
              <w:rPr>
                <w:sz w:val="20"/>
              </w:rPr>
              <w:t>566</w:t>
            </w:r>
          </w:p>
        </w:tc>
      </w:tr>
      <w:tr w:rsidR="0059386B">
        <w:tc>
          <w:tcPr>
            <w:tcW w:w="5670" w:type="dxa"/>
          </w:tcPr>
          <w:p w:rsidR="0059386B" w:rsidRDefault="0059386B" w:rsidP="00361F69">
            <w:pPr>
              <w:pStyle w:val="BodyText"/>
              <w:tabs>
                <w:tab w:val="left" w:pos="360"/>
                <w:tab w:val="left" w:pos="540"/>
                <w:tab w:val="left" w:pos="630"/>
                <w:tab w:val="left" w:pos="1080"/>
              </w:tabs>
              <w:ind w:right="-450" w:hanging="108"/>
              <w:rPr>
                <w:sz w:val="20"/>
              </w:rPr>
            </w:pPr>
            <w:r w:rsidRPr="00E00805">
              <w:rPr>
                <w:sz w:val="20"/>
              </w:rPr>
              <w:t>U</w:t>
            </w:r>
            <w:r w:rsidR="00A97B8A">
              <w:rPr>
                <w:sz w:val="20"/>
              </w:rPr>
              <w:t xml:space="preserve">nited </w:t>
            </w:r>
            <w:r w:rsidRPr="00E00805">
              <w:rPr>
                <w:sz w:val="20"/>
              </w:rPr>
              <w:t>S</w:t>
            </w:r>
            <w:r w:rsidR="00A97B8A">
              <w:rPr>
                <w:sz w:val="20"/>
              </w:rPr>
              <w:t>tates</w:t>
            </w:r>
            <w:r w:rsidRPr="00E00805">
              <w:rPr>
                <w:sz w:val="20"/>
              </w:rPr>
              <w:t xml:space="preserve"> Dollar</w:t>
            </w:r>
          </w:p>
          <w:p w:rsidR="001B4B5E" w:rsidRDefault="00BC1945" w:rsidP="00361F69">
            <w:pPr>
              <w:pStyle w:val="BodyText"/>
              <w:tabs>
                <w:tab w:val="left" w:pos="360"/>
                <w:tab w:val="left" w:pos="540"/>
                <w:tab w:val="left" w:pos="630"/>
                <w:tab w:val="left" w:pos="1080"/>
              </w:tabs>
              <w:ind w:right="-450" w:hanging="108"/>
              <w:rPr>
                <w:sz w:val="20"/>
              </w:rPr>
            </w:pPr>
            <w:r>
              <w:rPr>
                <w:sz w:val="20"/>
              </w:rPr>
              <w:t>Vanuatu V</w:t>
            </w:r>
            <w:r w:rsidR="001B4B5E">
              <w:rPr>
                <w:sz w:val="20"/>
              </w:rPr>
              <w:t>atu</w:t>
            </w:r>
          </w:p>
          <w:p w:rsidR="001B4B5E" w:rsidRPr="00E00805" w:rsidRDefault="001B4B5E" w:rsidP="00361F69">
            <w:pPr>
              <w:pStyle w:val="BodyText"/>
              <w:tabs>
                <w:tab w:val="left" w:pos="360"/>
                <w:tab w:val="left" w:pos="540"/>
                <w:tab w:val="left" w:pos="630"/>
                <w:tab w:val="left" w:pos="1080"/>
              </w:tabs>
              <w:ind w:right="-450" w:hanging="108"/>
              <w:rPr>
                <w:sz w:val="20"/>
              </w:rPr>
            </w:pPr>
            <w:r>
              <w:rPr>
                <w:sz w:val="20"/>
              </w:rPr>
              <w:t>Solomon Dollar</w:t>
            </w:r>
          </w:p>
        </w:tc>
        <w:tc>
          <w:tcPr>
            <w:tcW w:w="1440" w:type="dxa"/>
            <w:tcBorders>
              <w:left w:val="single" w:sz="4" w:space="0" w:color="auto"/>
              <w:bottom w:val="single" w:sz="4" w:space="0" w:color="auto"/>
              <w:right w:val="single" w:sz="4" w:space="0" w:color="auto"/>
            </w:tcBorders>
          </w:tcPr>
          <w:p w:rsidR="0059386B" w:rsidRDefault="00EE130B" w:rsidP="004017FB">
            <w:pPr>
              <w:pStyle w:val="BodyText"/>
              <w:tabs>
                <w:tab w:val="left" w:pos="360"/>
                <w:tab w:val="left" w:pos="540"/>
                <w:tab w:val="left" w:pos="630"/>
                <w:tab w:val="left" w:pos="1080"/>
              </w:tabs>
              <w:ind w:right="-450" w:hanging="108"/>
              <w:jc w:val="center"/>
              <w:rPr>
                <w:sz w:val="20"/>
              </w:rPr>
            </w:pPr>
            <w:r w:rsidRPr="0008044C">
              <w:rPr>
                <w:sz w:val="20"/>
              </w:rPr>
              <w:t xml:space="preserve"> </w:t>
            </w:r>
            <w:r w:rsidR="004017FB" w:rsidRPr="0008044C">
              <w:rPr>
                <w:sz w:val="20"/>
              </w:rPr>
              <w:t xml:space="preserve"> </w:t>
            </w:r>
            <w:r w:rsidR="00513185" w:rsidRPr="0008044C">
              <w:rPr>
                <w:sz w:val="20"/>
              </w:rPr>
              <w:t>3</w:t>
            </w:r>
            <w:r w:rsidR="00CB6A7A" w:rsidRPr="0008044C">
              <w:rPr>
                <w:sz w:val="20"/>
              </w:rPr>
              <w:t>7</w:t>
            </w:r>
            <w:r w:rsidR="004017FB" w:rsidRPr="0008044C">
              <w:rPr>
                <w:sz w:val="20"/>
              </w:rPr>
              <w:t>,</w:t>
            </w:r>
            <w:r w:rsidR="00CB6A7A" w:rsidRPr="0008044C">
              <w:rPr>
                <w:sz w:val="20"/>
              </w:rPr>
              <w:t>602</w:t>
            </w:r>
          </w:p>
          <w:p w:rsidR="001B4B5E" w:rsidRDefault="001B4B5E" w:rsidP="004017FB">
            <w:pPr>
              <w:pStyle w:val="BodyText"/>
              <w:tabs>
                <w:tab w:val="left" w:pos="360"/>
                <w:tab w:val="left" w:pos="540"/>
                <w:tab w:val="left" w:pos="630"/>
                <w:tab w:val="left" w:pos="1080"/>
              </w:tabs>
              <w:ind w:right="-450" w:hanging="108"/>
              <w:jc w:val="center"/>
              <w:rPr>
                <w:sz w:val="20"/>
              </w:rPr>
            </w:pPr>
            <w:r>
              <w:rPr>
                <w:sz w:val="20"/>
              </w:rPr>
              <w:t>506,908</w:t>
            </w:r>
          </w:p>
          <w:p w:rsidR="001B4B5E" w:rsidRPr="0008044C" w:rsidRDefault="001B4B5E" w:rsidP="004017FB">
            <w:pPr>
              <w:pStyle w:val="BodyText"/>
              <w:tabs>
                <w:tab w:val="left" w:pos="360"/>
                <w:tab w:val="left" w:pos="540"/>
                <w:tab w:val="left" w:pos="630"/>
                <w:tab w:val="left" w:pos="1080"/>
              </w:tabs>
              <w:ind w:right="-450" w:hanging="108"/>
              <w:jc w:val="center"/>
              <w:rPr>
                <w:sz w:val="20"/>
              </w:rPr>
            </w:pPr>
            <w:r>
              <w:rPr>
                <w:sz w:val="20"/>
              </w:rPr>
              <w:t xml:space="preserve">    9,13</w:t>
            </w:r>
            <w:r w:rsidR="00DF444F">
              <w:rPr>
                <w:sz w:val="20"/>
              </w:rPr>
              <w:t>6</w:t>
            </w:r>
          </w:p>
        </w:tc>
      </w:tr>
    </w:tbl>
    <w:p w:rsidR="003C2A3B" w:rsidRDefault="0059386B" w:rsidP="00491580">
      <w:pPr>
        <w:pStyle w:val="BodyText"/>
        <w:tabs>
          <w:tab w:val="left" w:pos="360"/>
          <w:tab w:val="left" w:pos="540"/>
          <w:tab w:val="left" w:pos="630"/>
          <w:tab w:val="left" w:pos="1080"/>
        </w:tabs>
        <w:ind w:right="-450" w:hanging="1800"/>
        <w:rPr>
          <w:sz w:val="20"/>
        </w:rPr>
      </w:pPr>
      <w:r>
        <w:rPr>
          <w:sz w:val="20"/>
        </w:rPr>
        <w:tab/>
      </w:r>
    </w:p>
    <w:p w:rsidR="000A148D" w:rsidRDefault="000A148D" w:rsidP="00491580">
      <w:pPr>
        <w:pStyle w:val="BodyText"/>
        <w:tabs>
          <w:tab w:val="left" w:pos="360"/>
          <w:tab w:val="left" w:pos="540"/>
          <w:tab w:val="left" w:pos="630"/>
          <w:tab w:val="left" w:pos="1080"/>
        </w:tabs>
        <w:ind w:right="-450" w:hanging="1800"/>
        <w:rPr>
          <w:sz w:val="20"/>
        </w:rPr>
      </w:pPr>
    </w:p>
    <w:p w:rsidR="005F1627" w:rsidRDefault="005F1627" w:rsidP="00491580">
      <w:pPr>
        <w:pStyle w:val="BodyText"/>
        <w:tabs>
          <w:tab w:val="left" w:pos="360"/>
          <w:tab w:val="left" w:pos="540"/>
          <w:tab w:val="left" w:pos="630"/>
          <w:tab w:val="left" w:pos="1080"/>
        </w:tabs>
        <w:ind w:right="-450" w:hanging="1800"/>
        <w:rPr>
          <w:sz w:val="20"/>
        </w:rPr>
      </w:pPr>
    </w:p>
    <w:p w:rsidR="0059386B" w:rsidRDefault="0059386B" w:rsidP="00B93910">
      <w:pPr>
        <w:pStyle w:val="BodyText"/>
        <w:tabs>
          <w:tab w:val="left" w:pos="360"/>
          <w:tab w:val="left" w:pos="540"/>
          <w:tab w:val="left" w:pos="630"/>
          <w:tab w:val="left" w:pos="720"/>
          <w:tab w:val="left" w:pos="1080"/>
        </w:tabs>
        <w:ind w:left="1800" w:right="-450" w:hanging="1800"/>
        <w:rPr>
          <w:b/>
          <w:sz w:val="20"/>
        </w:rPr>
      </w:pPr>
      <w:r>
        <w:rPr>
          <w:sz w:val="20"/>
        </w:rPr>
        <w:t>B10</w:t>
      </w:r>
      <w:r>
        <w:rPr>
          <w:sz w:val="20"/>
        </w:rPr>
        <w:tab/>
      </w:r>
      <w:r>
        <w:rPr>
          <w:sz w:val="20"/>
        </w:rPr>
        <w:tab/>
      </w:r>
      <w:r>
        <w:rPr>
          <w:sz w:val="20"/>
        </w:rPr>
        <w:tab/>
      </w:r>
      <w:r w:rsidR="006514DE" w:rsidRPr="006514DE">
        <w:rPr>
          <w:b/>
          <w:sz w:val="20"/>
        </w:rPr>
        <w:t>D</w:t>
      </w:r>
      <w:r w:rsidR="006514DE">
        <w:rPr>
          <w:b/>
          <w:sz w:val="20"/>
        </w:rPr>
        <w:t>erivative financial instruments</w:t>
      </w:r>
    </w:p>
    <w:p w:rsidR="00AE5E48" w:rsidRDefault="00AE5E48" w:rsidP="00491580">
      <w:pPr>
        <w:pStyle w:val="BodyText"/>
        <w:tabs>
          <w:tab w:val="left" w:pos="360"/>
          <w:tab w:val="left" w:pos="540"/>
          <w:tab w:val="left" w:pos="630"/>
          <w:tab w:val="left" w:pos="1080"/>
        </w:tabs>
        <w:ind w:left="630" w:right="-450" w:hanging="1800"/>
        <w:rPr>
          <w:sz w:val="20"/>
        </w:rPr>
      </w:pPr>
    </w:p>
    <w:p w:rsidR="00454169" w:rsidRPr="00A634F6" w:rsidRDefault="00B93910" w:rsidP="006514DE">
      <w:pPr>
        <w:pStyle w:val="BodyText"/>
        <w:tabs>
          <w:tab w:val="left" w:pos="360"/>
          <w:tab w:val="left" w:pos="540"/>
          <w:tab w:val="left" w:pos="630"/>
          <w:tab w:val="left" w:pos="1080"/>
        </w:tabs>
        <w:ind w:left="630" w:right="-180" w:hanging="1800"/>
        <w:rPr>
          <w:sz w:val="20"/>
        </w:rPr>
      </w:pPr>
      <w:r>
        <w:rPr>
          <w:sz w:val="20"/>
        </w:rPr>
        <w:tab/>
      </w:r>
      <w:r>
        <w:rPr>
          <w:sz w:val="20"/>
        </w:rPr>
        <w:tab/>
      </w:r>
      <w:r>
        <w:rPr>
          <w:sz w:val="20"/>
        </w:rPr>
        <w:tab/>
      </w:r>
      <w:r w:rsidR="00F34808" w:rsidRPr="00A634F6">
        <w:rPr>
          <w:sz w:val="20"/>
        </w:rPr>
        <w:t>The f</w:t>
      </w:r>
      <w:r w:rsidR="00E51A20" w:rsidRPr="00A634F6">
        <w:rPr>
          <w:sz w:val="20"/>
        </w:rPr>
        <w:t>orward currency contracts used to hedge the Group’s sales and purchases denominated in various foreign currencies</w:t>
      </w:r>
      <w:r w:rsidR="00F34808" w:rsidRPr="00A634F6">
        <w:rPr>
          <w:sz w:val="20"/>
        </w:rPr>
        <w:t xml:space="preserve"> are </w:t>
      </w:r>
      <w:r w:rsidR="006514DE" w:rsidRPr="00A634F6">
        <w:rPr>
          <w:sz w:val="20"/>
        </w:rPr>
        <w:t>as follows:</w:t>
      </w:r>
      <w:r w:rsidR="00FC4A94" w:rsidRPr="00A634F6">
        <w:rPr>
          <w:sz w:val="20"/>
        </w:rPr>
        <w:t xml:space="preserve">  </w:t>
      </w:r>
    </w:p>
    <w:p w:rsidR="00277109" w:rsidRPr="00A634F6" w:rsidRDefault="00277109" w:rsidP="00491580">
      <w:pPr>
        <w:pStyle w:val="BodyText"/>
        <w:tabs>
          <w:tab w:val="left" w:pos="360"/>
          <w:tab w:val="left" w:pos="540"/>
          <w:tab w:val="left" w:pos="630"/>
          <w:tab w:val="left" w:pos="1080"/>
        </w:tabs>
        <w:ind w:left="720" w:right="-450" w:hanging="1800"/>
        <w:rPr>
          <w:sz w:val="20"/>
        </w:rPr>
      </w:pPr>
    </w:p>
    <w:tbl>
      <w:tblPr>
        <w:tblW w:w="7290" w:type="dxa"/>
        <w:tblInd w:w="828" w:type="dxa"/>
        <w:tblLayout w:type="fixed"/>
        <w:tblLook w:val="0000"/>
      </w:tblPr>
      <w:tblGrid>
        <w:gridCol w:w="2790"/>
        <w:gridCol w:w="1440"/>
        <w:gridCol w:w="1620"/>
        <w:gridCol w:w="1440"/>
      </w:tblGrid>
      <w:tr w:rsidR="006514DE" w:rsidRPr="00A634F6">
        <w:tc>
          <w:tcPr>
            <w:tcW w:w="2790" w:type="dxa"/>
          </w:tcPr>
          <w:p w:rsidR="006514DE" w:rsidRPr="00A634F6" w:rsidRDefault="006514DE" w:rsidP="00B93910">
            <w:pPr>
              <w:pStyle w:val="BodyText"/>
              <w:tabs>
                <w:tab w:val="left" w:pos="360"/>
                <w:tab w:val="left" w:pos="540"/>
                <w:tab w:val="left" w:pos="630"/>
                <w:tab w:val="left" w:pos="1080"/>
              </w:tabs>
              <w:ind w:right="-108" w:hanging="108"/>
              <w:rPr>
                <w:sz w:val="20"/>
              </w:rPr>
            </w:pPr>
          </w:p>
        </w:tc>
        <w:tc>
          <w:tcPr>
            <w:tcW w:w="1440" w:type="dxa"/>
          </w:tcPr>
          <w:p w:rsidR="006514DE" w:rsidRPr="00A634F6" w:rsidRDefault="006514DE" w:rsidP="00B93910">
            <w:pPr>
              <w:pStyle w:val="BodyText"/>
              <w:tabs>
                <w:tab w:val="left" w:pos="360"/>
                <w:tab w:val="left" w:pos="540"/>
                <w:tab w:val="left" w:pos="630"/>
                <w:tab w:val="left" w:pos="1080"/>
              </w:tabs>
              <w:ind w:right="-108" w:hanging="108"/>
              <w:jc w:val="center"/>
              <w:rPr>
                <w:sz w:val="20"/>
              </w:rPr>
            </w:pPr>
          </w:p>
        </w:tc>
        <w:tc>
          <w:tcPr>
            <w:tcW w:w="3060" w:type="dxa"/>
            <w:gridSpan w:val="2"/>
          </w:tcPr>
          <w:p w:rsidR="006514DE" w:rsidRPr="00A634F6" w:rsidRDefault="006514DE" w:rsidP="00B93910">
            <w:pPr>
              <w:pStyle w:val="BodyText"/>
              <w:tabs>
                <w:tab w:val="left" w:pos="360"/>
                <w:tab w:val="left" w:pos="540"/>
                <w:tab w:val="left" w:pos="630"/>
                <w:tab w:val="left" w:pos="1080"/>
              </w:tabs>
              <w:ind w:right="-108" w:hanging="108"/>
              <w:jc w:val="center"/>
              <w:rPr>
                <w:sz w:val="20"/>
              </w:rPr>
            </w:pPr>
            <w:r w:rsidRPr="00A634F6">
              <w:rPr>
                <w:sz w:val="20"/>
              </w:rPr>
              <w:t>&lt;-------</w:t>
            </w:r>
            <w:r w:rsidR="00D727AD" w:rsidRPr="00A634F6">
              <w:rPr>
                <w:sz w:val="20"/>
              </w:rPr>
              <w:t>-----</w:t>
            </w:r>
            <w:r w:rsidRPr="00A634F6">
              <w:rPr>
                <w:sz w:val="20"/>
              </w:rPr>
              <w:t>-- Fair Value -----</w:t>
            </w:r>
            <w:r w:rsidR="00D727AD" w:rsidRPr="00A634F6">
              <w:rPr>
                <w:sz w:val="20"/>
              </w:rPr>
              <w:t>----</w:t>
            </w:r>
            <w:r w:rsidRPr="00A634F6">
              <w:rPr>
                <w:sz w:val="20"/>
              </w:rPr>
              <w:t>----&gt;</w:t>
            </w:r>
          </w:p>
        </w:tc>
      </w:tr>
      <w:tr w:rsidR="00E51A20" w:rsidRPr="00A634F6">
        <w:tc>
          <w:tcPr>
            <w:tcW w:w="2790" w:type="dxa"/>
          </w:tcPr>
          <w:p w:rsidR="00E51A20" w:rsidRPr="00A634F6" w:rsidRDefault="00E51A20" w:rsidP="00B93910">
            <w:pPr>
              <w:pStyle w:val="BodyText"/>
              <w:tabs>
                <w:tab w:val="left" w:pos="360"/>
                <w:tab w:val="left" w:pos="540"/>
                <w:tab w:val="left" w:pos="630"/>
                <w:tab w:val="left" w:pos="1080"/>
              </w:tabs>
              <w:ind w:right="-108" w:hanging="108"/>
              <w:rPr>
                <w:sz w:val="20"/>
              </w:rPr>
            </w:pPr>
          </w:p>
          <w:p w:rsidR="00E51A20" w:rsidRPr="00A634F6" w:rsidRDefault="00E51A20" w:rsidP="00B93910">
            <w:pPr>
              <w:pStyle w:val="BodyText"/>
              <w:tabs>
                <w:tab w:val="left" w:pos="360"/>
                <w:tab w:val="left" w:pos="540"/>
                <w:tab w:val="left" w:pos="630"/>
                <w:tab w:val="left" w:pos="1080"/>
              </w:tabs>
              <w:ind w:right="-108" w:hanging="108"/>
              <w:jc w:val="left"/>
              <w:rPr>
                <w:b/>
                <w:sz w:val="20"/>
              </w:rPr>
            </w:pPr>
          </w:p>
          <w:p w:rsidR="00E51A20" w:rsidRPr="00A634F6" w:rsidRDefault="00E51A20" w:rsidP="00B93910">
            <w:pPr>
              <w:pStyle w:val="BodyText"/>
              <w:tabs>
                <w:tab w:val="left" w:pos="360"/>
                <w:tab w:val="left" w:pos="540"/>
                <w:tab w:val="left" w:pos="630"/>
                <w:tab w:val="left" w:pos="1080"/>
              </w:tabs>
              <w:ind w:right="-108" w:hanging="108"/>
              <w:jc w:val="left"/>
              <w:rPr>
                <w:b/>
                <w:sz w:val="20"/>
                <w:u w:val="single"/>
              </w:rPr>
            </w:pPr>
          </w:p>
        </w:tc>
        <w:tc>
          <w:tcPr>
            <w:tcW w:w="1440" w:type="dxa"/>
            <w:tcBorders>
              <w:bottom w:val="single" w:sz="8" w:space="0" w:color="000000"/>
            </w:tcBorders>
          </w:tcPr>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Contract/</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Notional</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Amount</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(RM’000)</w:t>
            </w:r>
          </w:p>
        </w:tc>
        <w:tc>
          <w:tcPr>
            <w:tcW w:w="1620" w:type="dxa"/>
            <w:tcBorders>
              <w:bottom w:val="single" w:sz="8" w:space="0" w:color="000000"/>
            </w:tcBorders>
          </w:tcPr>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 xml:space="preserve"> Assets</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(RM’000)</w:t>
            </w:r>
          </w:p>
        </w:tc>
        <w:tc>
          <w:tcPr>
            <w:tcW w:w="1440" w:type="dxa"/>
            <w:tcBorders>
              <w:bottom w:val="single" w:sz="8" w:space="0" w:color="000000"/>
            </w:tcBorders>
          </w:tcPr>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Liabilities (RM’000)</w:t>
            </w:r>
          </w:p>
        </w:tc>
      </w:tr>
      <w:tr w:rsidR="00E51A20" w:rsidRPr="00A634F6">
        <w:tc>
          <w:tcPr>
            <w:tcW w:w="2790" w:type="dxa"/>
          </w:tcPr>
          <w:p w:rsidR="00E51A20" w:rsidRPr="00A634F6" w:rsidRDefault="00E51A20" w:rsidP="00B93910">
            <w:pPr>
              <w:pStyle w:val="BodyText"/>
              <w:tabs>
                <w:tab w:val="left" w:pos="360"/>
                <w:tab w:val="left" w:pos="540"/>
                <w:tab w:val="left" w:pos="630"/>
                <w:tab w:val="left" w:pos="1080"/>
              </w:tabs>
              <w:ind w:right="-108" w:hanging="108"/>
              <w:rPr>
                <w:b/>
                <w:sz w:val="20"/>
              </w:rPr>
            </w:pPr>
            <w:r w:rsidRPr="00A634F6">
              <w:rPr>
                <w:b/>
                <w:sz w:val="20"/>
              </w:rPr>
              <w:t>Non-hedging derivatives:</w:t>
            </w:r>
          </w:p>
        </w:tc>
        <w:tc>
          <w:tcPr>
            <w:tcW w:w="1440" w:type="dxa"/>
          </w:tcPr>
          <w:p w:rsidR="00E51A20" w:rsidRPr="00A634F6" w:rsidRDefault="00E51A20" w:rsidP="00B93910">
            <w:pPr>
              <w:pStyle w:val="BodyText"/>
              <w:tabs>
                <w:tab w:val="left" w:pos="360"/>
                <w:tab w:val="left" w:pos="540"/>
                <w:tab w:val="left" w:pos="630"/>
                <w:tab w:val="left" w:pos="1080"/>
              </w:tabs>
              <w:ind w:right="-108" w:hanging="108"/>
              <w:rPr>
                <w:sz w:val="20"/>
              </w:rPr>
            </w:pPr>
          </w:p>
        </w:tc>
        <w:tc>
          <w:tcPr>
            <w:tcW w:w="1620" w:type="dxa"/>
          </w:tcPr>
          <w:p w:rsidR="00E51A20" w:rsidRPr="00A634F6" w:rsidRDefault="00E51A20" w:rsidP="00B93910">
            <w:pPr>
              <w:pStyle w:val="BodyText"/>
              <w:tabs>
                <w:tab w:val="left" w:pos="360"/>
                <w:tab w:val="left" w:pos="540"/>
                <w:tab w:val="left" w:pos="630"/>
                <w:tab w:val="left" w:pos="1080"/>
              </w:tabs>
              <w:ind w:right="-108" w:hanging="108"/>
              <w:rPr>
                <w:sz w:val="20"/>
              </w:rPr>
            </w:pPr>
          </w:p>
        </w:tc>
        <w:tc>
          <w:tcPr>
            <w:tcW w:w="1440" w:type="dxa"/>
          </w:tcPr>
          <w:p w:rsidR="00E51A20" w:rsidRPr="00A634F6" w:rsidRDefault="00E51A20" w:rsidP="00B93910">
            <w:pPr>
              <w:pStyle w:val="BodyText"/>
              <w:tabs>
                <w:tab w:val="left" w:pos="360"/>
                <w:tab w:val="left" w:pos="540"/>
                <w:tab w:val="left" w:pos="630"/>
                <w:tab w:val="left" w:pos="1080"/>
              </w:tabs>
              <w:ind w:right="-108" w:hanging="108"/>
              <w:rPr>
                <w:sz w:val="20"/>
              </w:rPr>
            </w:pPr>
          </w:p>
        </w:tc>
      </w:tr>
      <w:tr w:rsidR="00E51A20" w:rsidRPr="00A634F6">
        <w:tc>
          <w:tcPr>
            <w:tcW w:w="2790" w:type="dxa"/>
            <w:tcBorders>
              <w:bottom w:val="single" w:sz="4" w:space="0" w:color="auto"/>
            </w:tcBorders>
          </w:tcPr>
          <w:p w:rsidR="00E51A20" w:rsidRPr="00A634F6" w:rsidRDefault="00E51A20" w:rsidP="00B93910">
            <w:pPr>
              <w:pStyle w:val="BodyText"/>
              <w:tabs>
                <w:tab w:val="left" w:pos="360"/>
                <w:tab w:val="left" w:pos="540"/>
                <w:tab w:val="left" w:pos="630"/>
                <w:tab w:val="left" w:pos="1080"/>
              </w:tabs>
              <w:ind w:right="-108" w:hanging="108"/>
              <w:rPr>
                <w:b/>
                <w:sz w:val="20"/>
              </w:rPr>
            </w:pPr>
            <w:r w:rsidRPr="00A634F6">
              <w:rPr>
                <w:b/>
                <w:sz w:val="20"/>
              </w:rPr>
              <w:t>Current</w:t>
            </w:r>
            <w:r w:rsidR="00F34808" w:rsidRPr="00A634F6">
              <w:rPr>
                <w:b/>
                <w:sz w:val="20"/>
              </w:rPr>
              <w:t xml:space="preserve"> (Less than 1 year)</w:t>
            </w:r>
          </w:p>
        </w:tc>
        <w:tc>
          <w:tcPr>
            <w:tcW w:w="1440" w:type="dxa"/>
          </w:tcPr>
          <w:p w:rsidR="00E51A20" w:rsidRPr="00A634F6" w:rsidRDefault="00E51A20" w:rsidP="00B93910">
            <w:pPr>
              <w:pStyle w:val="BodyText"/>
              <w:tabs>
                <w:tab w:val="left" w:pos="360"/>
                <w:tab w:val="left" w:pos="540"/>
                <w:tab w:val="left" w:pos="630"/>
                <w:tab w:val="left" w:pos="1080"/>
              </w:tabs>
              <w:ind w:right="-108" w:hanging="108"/>
              <w:jc w:val="center"/>
              <w:rPr>
                <w:sz w:val="20"/>
              </w:rPr>
            </w:pPr>
          </w:p>
        </w:tc>
        <w:tc>
          <w:tcPr>
            <w:tcW w:w="1620" w:type="dxa"/>
          </w:tcPr>
          <w:p w:rsidR="00E51A20" w:rsidRPr="00A634F6" w:rsidRDefault="00E51A20" w:rsidP="00B93910">
            <w:pPr>
              <w:pStyle w:val="BodyText"/>
              <w:tabs>
                <w:tab w:val="left" w:pos="360"/>
                <w:tab w:val="left" w:pos="540"/>
                <w:tab w:val="left" w:pos="630"/>
                <w:tab w:val="left" w:pos="1080"/>
              </w:tabs>
              <w:ind w:right="-108" w:hanging="108"/>
              <w:jc w:val="center"/>
              <w:rPr>
                <w:sz w:val="20"/>
              </w:rPr>
            </w:pPr>
          </w:p>
        </w:tc>
        <w:tc>
          <w:tcPr>
            <w:tcW w:w="1440" w:type="dxa"/>
          </w:tcPr>
          <w:p w:rsidR="00E51A20" w:rsidRPr="00A634F6" w:rsidRDefault="00E51A20" w:rsidP="00B93910">
            <w:pPr>
              <w:pStyle w:val="BodyText"/>
              <w:tabs>
                <w:tab w:val="left" w:pos="360"/>
                <w:tab w:val="left" w:pos="540"/>
                <w:tab w:val="left" w:pos="630"/>
                <w:tab w:val="left" w:pos="1080"/>
              </w:tabs>
              <w:ind w:right="-108" w:hanging="108"/>
              <w:jc w:val="center"/>
              <w:rPr>
                <w:sz w:val="20"/>
              </w:rPr>
            </w:pPr>
          </w:p>
        </w:tc>
      </w:tr>
      <w:tr w:rsidR="00E51A20" w:rsidRPr="00A634F6">
        <w:tc>
          <w:tcPr>
            <w:tcW w:w="2790" w:type="dxa"/>
            <w:tcBorders>
              <w:top w:val="single" w:sz="4" w:space="0" w:color="auto"/>
            </w:tcBorders>
          </w:tcPr>
          <w:p w:rsidR="00E51A20" w:rsidRPr="00A634F6" w:rsidRDefault="00E51A20" w:rsidP="00E51A20">
            <w:pPr>
              <w:pStyle w:val="BodyText"/>
              <w:tabs>
                <w:tab w:val="left" w:pos="360"/>
                <w:tab w:val="left" w:pos="540"/>
                <w:tab w:val="left" w:pos="630"/>
                <w:tab w:val="left" w:pos="1080"/>
              </w:tabs>
              <w:ind w:right="-108" w:hanging="108"/>
              <w:jc w:val="left"/>
              <w:rPr>
                <w:sz w:val="20"/>
              </w:rPr>
            </w:pPr>
            <w:r w:rsidRPr="00A634F6">
              <w:rPr>
                <w:sz w:val="20"/>
              </w:rPr>
              <w:t>Forward currency contracts</w:t>
            </w:r>
          </w:p>
        </w:tc>
        <w:tc>
          <w:tcPr>
            <w:tcW w:w="1440" w:type="dxa"/>
          </w:tcPr>
          <w:p w:rsidR="00E51A20" w:rsidRPr="00A634F6" w:rsidRDefault="00EE58C9" w:rsidP="00A634F6">
            <w:pPr>
              <w:pStyle w:val="BodyText"/>
              <w:tabs>
                <w:tab w:val="left" w:pos="360"/>
                <w:tab w:val="left" w:pos="540"/>
                <w:tab w:val="left" w:pos="630"/>
                <w:tab w:val="left" w:pos="1080"/>
              </w:tabs>
              <w:ind w:right="-108" w:hanging="108"/>
              <w:jc w:val="center"/>
              <w:rPr>
                <w:sz w:val="20"/>
              </w:rPr>
            </w:pPr>
            <w:r w:rsidRPr="00A634F6">
              <w:rPr>
                <w:sz w:val="20"/>
              </w:rPr>
              <w:t>1</w:t>
            </w:r>
            <w:r w:rsidR="00A634F6" w:rsidRPr="00A634F6">
              <w:rPr>
                <w:sz w:val="20"/>
              </w:rPr>
              <w:t>4</w:t>
            </w:r>
            <w:r w:rsidR="001F36D5" w:rsidRPr="00A634F6">
              <w:rPr>
                <w:sz w:val="20"/>
              </w:rPr>
              <w:t>,</w:t>
            </w:r>
            <w:r w:rsidR="00A634F6" w:rsidRPr="00A634F6">
              <w:rPr>
                <w:sz w:val="20"/>
              </w:rPr>
              <w:t>223</w:t>
            </w:r>
          </w:p>
        </w:tc>
        <w:tc>
          <w:tcPr>
            <w:tcW w:w="1620" w:type="dxa"/>
          </w:tcPr>
          <w:p w:rsidR="00E51A20" w:rsidRPr="00A634F6" w:rsidRDefault="00A634F6" w:rsidP="00B93910">
            <w:pPr>
              <w:pStyle w:val="BodyText"/>
              <w:tabs>
                <w:tab w:val="left" w:pos="360"/>
                <w:tab w:val="left" w:pos="540"/>
                <w:tab w:val="left" w:pos="630"/>
                <w:tab w:val="left" w:pos="1080"/>
              </w:tabs>
              <w:ind w:right="-108" w:hanging="108"/>
              <w:jc w:val="center"/>
              <w:rPr>
                <w:sz w:val="20"/>
              </w:rPr>
            </w:pPr>
            <w:r w:rsidRPr="00A634F6">
              <w:rPr>
                <w:sz w:val="20"/>
              </w:rPr>
              <w:t>49</w:t>
            </w:r>
          </w:p>
        </w:tc>
        <w:tc>
          <w:tcPr>
            <w:tcW w:w="1440" w:type="dxa"/>
          </w:tcPr>
          <w:p w:rsidR="00E51A20" w:rsidRPr="00A634F6" w:rsidRDefault="00E51A20" w:rsidP="00A634F6">
            <w:pPr>
              <w:pStyle w:val="BodyText"/>
              <w:tabs>
                <w:tab w:val="left" w:pos="360"/>
                <w:tab w:val="left" w:pos="540"/>
                <w:tab w:val="left" w:pos="630"/>
                <w:tab w:val="left" w:pos="1080"/>
              </w:tabs>
              <w:ind w:right="-108" w:hanging="108"/>
              <w:jc w:val="center"/>
              <w:rPr>
                <w:sz w:val="20"/>
              </w:rPr>
            </w:pPr>
            <w:r w:rsidRPr="00A634F6">
              <w:rPr>
                <w:sz w:val="20"/>
              </w:rPr>
              <w:t>(</w:t>
            </w:r>
            <w:r w:rsidR="00A634F6" w:rsidRPr="00A634F6">
              <w:rPr>
                <w:sz w:val="20"/>
              </w:rPr>
              <w:t>306</w:t>
            </w:r>
            <w:r w:rsidRPr="00A634F6">
              <w:rPr>
                <w:sz w:val="20"/>
              </w:rPr>
              <w:t>)</w:t>
            </w:r>
          </w:p>
        </w:tc>
      </w:tr>
      <w:tr w:rsidR="00E51A20" w:rsidRPr="00A634F6">
        <w:tc>
          <w:tcPr>
            <w:tcW w:w="2790" w:type="dxa"/>
          </w:tcPr>
          <w:p w:rsidR="00E51A20" w:rsidRPr="00A634F6" w:rsidRDefault="00E51A20" w:rsidP="00B93910">
            <w:pPr>
              <w:pStyle w:val="BodyText"/>
              <w:tabs>
                <w:tab w:val="left" w:pos="360"/>
                <w:tab w:val="left" w:pos="540"/>
                <w:tab w:val="left" w:pos="630"/>
                <w:tab w:val="left" w:pos="1080"/>
              </w:tabs>
              <w:ind w:right="-108" w:hanging="108"/>
              <w:rPr>
                <w:sz w:val="20"/>
              </w:rPr>
            </w:pPr>
          </w:p>
        </w:tc>
        <w:tc>
          <w:tcPr>
            <w:tcW w:w="1440" w:type="dxa"/>
          </w:tcPr>
          <w:p w:rsidR="00E51A20" w:rsidRPr="00A634F6" w:rsidRDefault="00E51A20" w:rsidP="00B93910">
            <w:pPr>
              <w:pStyle w:val="BodyText"/>
              <w:tabs>
                <w:tab w:val="left" w:pos="360"/>
                <w:tab w:val="left" w:pos="540"/>
                <w:tab w:val="left" w:pos="630"/>
                <w:tab w:val="left" w:pos="1080"/>
              </w:tabs>
              <w:ind w:right="-108" w:hanging="108"/>
              <w:jc w:val="center"/>
              <w:rPr>
                <w:sz w:val="20"/>
              </w:rPr>
            </w:pPr>
          </w:p>
        </w:tc>
        <w:tc>
          <w:tcPr>
            <w:tcW w:w="1620" w:type="dxa"/>
          </w:tcPr>
          <w:p w:rsidR="00E51A20" w:rsidRPr="00A634F6" w:rsidRDefault="00E51A20" w:rsidP="00B93910">
            <w:pPr>
              <w:pStyle w:val="BodyText"/>
              <w:tabs>
                <w:tab w:val="left" w:pos="360"/>
                <w:tab w:val="left" w:pos="540"/>
                <w:tab w:val="left" w:pos="630"/>
                <w:tab w:val="left" w:pos="1080"/>
              </w:tabs>
              <w:ind w:right="-108" w:hanging="108"/>
              <w:jc w:val="center"/>
              <w:rPr>
                <w:sz w:val="20"/>
              </w:rPr>
            </w:pPr>
          </w:p>
        </w:tc>
        <w:tc>
          <w:tcPr>
            <w:tcW w:w="1440" w:type="dxa"/>
          </w:tcPr>
          <w:p w:rsidR="00E51A20" w:rsidRPr="00A634F6" w:rsidRDefault="00E51A20" w:rsidP="00B93910">
            <w:pPr>
              <w:pStyle w:val="BodyText"/>
              <w:tabs>
                <w:tab w:val="left" w:pos="360"/>
                <w:tab w:val="left" w:pos="540"/>
                <w:tab w:val="left" w:pos="630"/>
                <w:tab w:val="left" w:pos="1080"/>
              </w:tabs>
              <w:ind w:right="-108" w:hanging="108"/>
              <w:jc w:val="center"/>
              <w:rPr>
                <w:sz w:val="20"/>
              </w:rPr>
            </w:pPr>
          </w:p>
        </w:tc>
      </w:tr>
      <w:tr w:rsidR="00E51A20" w:rsidRPr="00A634F6">
        <w:tc>
          <w:tcPr>
            <w:tcW w:w="2790" w:type="dxa"/>
          </w:tcPr>
          <w:p w:rsidR="00E51A20" w:rsidRPr="00A634F6" w:rsidRDefault="00E51A20" w:rsidP="00B93910">
            <w:pPr>
              <w:pStyle w:val="BodyText"/>
              <w:tabs>
                <w:tab w:val="left" w:pos="360"/>
                <w:tab w:val="left" w:pos="540"/>
                <w:tab w:val="left" w:pos="630"/>
                <w:tab w:val="left" w:pos="1080"/>
              </w:tabs>
              <w:ind w:right="-108" w:hanging="108"/>
              <w:rPr>
                <w:sz w:val="20"/>
              </w:rPr>
            </w:pPr>
          </w:p>
        </w:tc>
        <w:tc>
          <w:tcPr>
            <w:tcW w:w="1440" w:type="dxa"/>
            <w:tcBorders>
              <w:top w:val="single" w:sz="4" w:space="0" w:color="auto"/>
              <w:bottom w:val="single" w:sz="12" w:space="0" w:color="auto"/>
            </w:tcBorders>
          </w:tcPr>
          <w:p w:rsidR="00E51A20" w:rsidRPr="00A634F6" w:rsidRDefault="00EE58C9" w:rsidP="00EE58C9">
            <w:pPr>
              <w:pStyle w:val="BodyText"/>
              <w:tabs>
                <w:tab w:val="left" w:pos="360"/>
                <w:tab w:val="left" w:pos="540"/>
                <w:tab w:val="left" w:pos="630"/>
                <w:tab w:val="left" w:pos="1080"/>
              </w:tabs>
              <w:ind w:right="-108" w:hanging="108"/>
              <w:jc w:val="center"/>
              <w:rPr>
                <w:sz w:val="20"/>
              </w:rPr>
            </w:pPr>
            <w:r w:rsidRPr="00A634F6">
              <w:rPr>
                <w:sz w:val="20"/>
              </w:rPr>
              <w:t>1</w:t>
            </w:r>
            <w:r w:rsidR="00A634F6" w:rsidRPr="00A634F6">
              <w:rPr>
                <w:sz w:val="20"/>
              </w:rPr>
              <w:t>4,223</w:t>
            </w:r>
          </w:p>
        </w:tc>
        <w:tc>
          <w:tcPr>
            <w:tcW w:w="1620" w:type="dxa"/>
            <w:tcBorders>
              <w:top w:val="single" w:sz="4" w:space="0" w:color="auto"/>
              <w:bottom w:val="single" w:sz="12" w:space="0" w:color="auto"/>
            </w:tcBorders>
          </w:tcPr>
          <w:p w:rsidR="00E51A20" w:rsidRPr="00A634F6" w:rsidRDefault="00A634F6" w:rsidP="00A97ED6">
            <w:pPr>
              <w:pStyle w:val="BodyText"/>
              <w:tabs>
                <w:tab w:val="left" w:pos="360"/>
                <w:tab w:val="left" w:pos="540"/>
                <w:tab w:val="left" w:pos="630"/>
                <w:tab w:val="left" w:pos="1080"/>
              </w:tabs>
              <w:ind w:right="-108" w:hanging="108"/>
              <w:jc w:val="center"/>
              <w:rPr>
                <w:sz w:val="20"/>
              </w:rPr>
            </w:pPr>
            <w:r w:rsidRPr="00A634F6">
              <w:rPr>
                <w:sz w:val="20"/>
              </w:rPr>
              <w:t>49</w:t>
            </w:r>
          </w:p>
        </w:tc>
        <w:tc>
          <w:tcPr>
            <w:tcW w:w="1440" w:type="dxa"/>
            <w:tcBorders>
              <w:top w:val="single" w:sz="4" w:space="0" w:color="auto"/>
              <w:bottom w:val="single" w:sz="12" w:space="0" w:color="auto"/>
            </w:tcBorders>
          </w:tcPr>
          <w:p w:rsidR="00E51A20" w:rsidRPr="00A634F6" w:rsidRDefault="00E51A20" w:rsidP="00EE58C9">
            <w:pPr>
              <w:pStyle w:val="BodyText"/>
              <w:tabs>
                <w:tab w:val="left" w:pos="360"/>
                <w:tab w:val="left" w:pos="540"/>
                <w:tab w:val="left" w:pos="630"/>
                <w:tab w:val="left" w:pos="1080"/>
              </w:tabs>
              <w:ind w:right="-108" w:hanging="108"/>
              <w:jc w:val="center"/>
              <w:rPr>
                <w:sz w:val="20"/>
              </w:rPr>
            </w:pPr>
            <w:r w:rsidRPr="00A634F6">
              <w:rPr>
                <w:sz w:val="20"/>
              </w:rPr>
              <w:t>(</w:t>
            </w:r>
            <w:r w:rsidR="00A634F6" w:rsidRPr="00A634F6">
              <w:rPr>
                <w:sz w:val="20"/>
              </w:rPr>
              <w:t>306</w:t>
            </w:r>
            <w:r w:rsidRPr="00A634F6">
              <w:rPr>
                <w:sz w:val="20"/>
              </w:rPr>
              <w:t>)</w:t>
            </w:r>
          </w:p>
        </w:tc>
      </w:tr>
    </w:tbl>
    <w:p w:rsidR="009D72A3" w:rsidRPr="00A634F6" w:rsidRDefault="009D72A3" w:rsidP="00491580">
      <w:pPr>
        <w:pStyle w:val="BodyText"/>
        <w:tabs>
          <w:tab w:val="left" w:pos="360"/>
          <w:tab w:val="left" w:pos="540"/>
          <w:tab w:val="left" w:pos="630"/>
          <w:tab w:val="left" w:pos="900"/>
          <w:tab w:val="left" w:pos="1080"/>
        </w:tabs>
        <w:ind w:left="720" w:right="-450" w:hanging="1800"/>
        <w:rPr>
          <w:sz w:val="20"/>
        </w:rPr>
      </w:pPr>
    </w:p>
    <w:p w:rsidR="006514DE" w:rsidRDefault="006514DE" w:rsidP="006514DE">
      <w:pPr>
        <w:pStyle w:val="BodyText"/>
        <w:tabs>
          <w:tab w:val="left" w:pos="360"/>
          <w:tab w:val="left" w:pos="540"/>
          <w:tab w:val="left" w:pos="630"/>
          <w:tab w:val="left" w:pos="1080"/>
        </w:tabs>
        <w:ind w:left="630" w:right="-180" w:hanging="1800"/>
        <w:rPr>
          <w:sz w:val="20"/>
        </w:rPr>
      </w:pPr>
      <w:r w:rsidRPr="00A634F6">
        <w:rPr>
          <w:sz w:val="20"/>
        </w:rPr>
        <w:tab/>
      </w:r>
      <w:r w:rsidRPr="00A634F6">
        <w:rPr>
          <w:sz w:val="20"/>
        </w:rPr>
        <w:tab/>
      </w:r>
      <w:r w:rsidRPr="00A634F6">
        <w:rPr>
          <w:sz w:val="20"/>
        </w:rPr>
        <w:tab/>
        <w:t xml:space="preserve">During the current financial quarter, the Group recognized a </w:t>
      </w:r>
      <w:r w:rsidR="00A634F6" w:rsidRPr="00A634F6">
        <w:rPr>
          <w:sz w:val="20"/>
        </w:rPr>
        <w:t>loss</w:t>
      </w:r>
      <w:r w:rsidRPr="00A634F6">
        <w:rPr>
          <w:sz w:val="20"/>
        </w:rPr>
        <w:t xml:space="preserve"> of RM</w:t>
      </w:r>
      <w:r w:rsidR="00865A1B" w:rsidRPr="00A634F6">
        <w:rPr>
          <w:sz w:val="20"/>
        </w:rPr>
        <w:t>0</w:t>
      </w:r>
      <w:r w:rsidRPr="00A634F6">
        <w:rPr>
          <w:sz w:val="20"/>
        </w:rPr>
        <w:t>.</w:t>
      </w:r>
      <w:r w:rsidR="00A634F6" w:rsidRPr="00A634F6">
        <w:rPr>
          <w:sz w:val="20"/>
        </w:rPr>
        <w:t>26</w:t>
      </w:r>
      <w:r w:rsidRPr="00A634F6">
        <w:rPr>
          <w:sz w:val="20"/>
        </w:rPr>
        <w:t xml:space="preserve"> million</w:t>
      </w:r>
      <w:r w:rsidR="00EE58C9" w:rsidRPr="00A634F6">
        <w:rPr>
          <w:sz w:val="20"/>
        </w:rPr>
        <w:t>,</w:t>
      </w:r>
      <w:r w:rsidRPr="00A634F6">
        <w:rPr>
          <w:sz w:val="20"/>
        </w:rPr>
        <w:t xml:space="preserve"> arising from fair value changes </w:t>
      </w:r>
      <w:r w:rsidR="00F34808" w:rsidRPr="00A634F6">
        <w:rPr>
          <w:sz w:val="20"/>
        </w:rPr>
        <w:t>in</w:t>
      </w:r>
      <w:r w:rsidRPr="00A634F6">
        <w:rPr>
          <w:sz w:val="20"/>
        </w:rPr>
        <w:t xml:space="preserve"> derivative assets and liabil</w:t>
      </w:r>
      <w:r w:rsidR="00F34808" w:rsidRPr="00A634F6">
        <w:rPr>
          <w:sz w:val="20"/>
        </w:rPr>
        <w:t>ities.  The fair value changes we</w:t>
      </w:r>
      <w:r w:rsidRPr="00A634F6">
        <w:rPr>
          <w:sz w:val="20"/>
        </w:rPr>
        <w:t>re attributable to</w:t>
      </w:r>
      <w:r w:rsidR="002E42A7" w:rsidRPr="00A634F6">
        <w:rPr>
          <w:sz w:val="20"/>
        </w:rPr>
        <w:t xml:space="preserve"> the</w:t>
      </w:r>
      <w:r w:rsidRPr="00A634F6">
        <w:rPr>
          <w:sz w:val="20"/>
        </w:rPr>
        <w:t xml:space="preserve"> changes in foreign exchange spot and forward rate</w:t>
      </w:r>
      <w:r w:rsidR="007C678F" w:rsidRPr="00A634F6">
        <w:rPr>
          <w:sz w:val="20"/>
        </w:rPr>
        <w:t>s</w:t>
      </w:r>
      <w:r w:rsidRPr="00A634F6">
        <w:rPr>
          <w:sz w:val="20"/>
        </w:rPr>
        <w:t>.</w:t>
      </w:r>
    </w:p>
    <w:p w:rsidR="006514DE" w:rsidRDefault="006514DE" w:rsidP="00491580">
      <w:pPr>
        <w:pStyle w:val="BodyText"/>
        <w:tabs>
          <w:tab w:val="left" w:pos="360"/>
          <w:tab w:val="left" w:pos="540"/>
          <w:tab w:val="left" w:pos="630"/>
          <w:tab w:val="left" w:pos="900"/>
          <w:tab w:val="left" w:pos="1080"/>
        </w:tabs>
        <w:ind w:left="720" w:right="-450" w:hanging="1800"/>
        <w:rPr>
          <w:sz w:val="20"/>
        </w:rPr>
      </w:pPr>
    </w:p>
    <w:p w:rsidR="001403F3" w:rsidRDefault="001403F3" w:rsidP="00491580">
      <w:pPr>
        <w:pStyle w:val="BodyText"/>
        <w:tabs>
          <w:tab w:val="left" w:pos="360"/>
          <w:tab w:val="left" w:pos="540"/>
          <w:tab w:val="left" w:pos="630"/>
          <w:tab w:val="left" w:pos="900"/>
          <w:tab w:val="left" w:pos="1080"/>
        </w:tabs>
        <w:ind w:left="720" w:right="-450" w:hanging="1800"/>
        <w:rPr>
          <w:sz w:val="20"/>
        </w:rPr>
      </w:pPr>
    </w:p>
    <w:p w:rsidR="007C5CA7" w:rsidRDefault="007C5CA7" w:rsidP="00491580">
      <w:pPr>
        <w:pStyle w:val="BodyText"/>
        <w:tabs>
          <w:tab w:val="left" w:pos="360"/>
          <w:tab w:val="left" w:pos="540"/>
          <w:tab w:val="left" w:pos="630"/>
          <w:tab w:val="left" w:pos="900"/>
          <w:tab w:val="left" w:pos="1080"/>
        </w:tabs>
        <w:ind w:left="720" w:right="-450" w:hanging="1800"/>
        <w:rPr>
          <w:sz w:val="20"/>
        </w:rPr>
      </w:pPr>
    </w:p>
    <w:p w:rsidR="007C5CA7" w:rsidRDefault="007C5CA7" w:rsidP="00491580">
      <w:pPr>
        <w:pStyle w:val="BodyText"/>
        <w:tabs>
          <w:tab w:val="left" w:pos="360"/>
          <w:tab w:val="left" w:pos="540"/>
          <w:tab w:val="left" w:pos="630"/>
          <w:tab w:val="left" w:pos="900"/>
          <w:tab w:val="left" w:pos="1080"/>
        </w:tabs>
        <w:ind w:left="720" w:right="-450" w:hanging="1800"/>
        <w:rPr>
          <w:sz w:val="20"/>
        </w:rPr>
      </w:pPr>
    </w:p>
    <w:p w:rsidR="0059386B" w:rsidRDefault="002425A2" w:rsidP="00B93910">
      <w:pPr>
        <w:pStyle w:val="BodyText"/>
        <w:tabs>
          <w:tab w:val="left" w:pos="360"/>
          <w:tab w:val="left" w:pos="540"/>
          <w:tab w:val="left" w:pos="630"/>
          <w:tab w:val="left" w:pos="900"/>
          <w:tab w:val="left" w:pos="1080"/>
        </w:tabs>
        <w:ind w:left="720" w:right="-450" w:hanging="720"/>
        <w:rPr>
          <w:b/>
          <w:sz w:val="20"/>
        </w:rPr>
      </w:pPr>
      <w:r w:rsidRPr="004A4FB2">
        <w:rPr>
          <w:sz w:val="20"/>
        </w:rPr>
        <w:t>B</w:t>
      </w:r>
      <w:r w:rsidR="0059386B" w:rsidRPr="004A4FB2">
        <w:rPr>
          <w:sz w:val="20"/>
        </w:rPr>
        <w:t>11</w:t>
      </w:r>
      <w:r w:rsidR="0059386B" w:rsidRPr="004A4FB2">
        <w:rPr>
          <w:sz w:val="20"/>
        </w:rPr>
        <w:tab/>
      </w:r>
      <w:r w:rsidR="0059386B" w:rsidRPr="004A4FB2">
        <w:rPr>
          <w:sz w:val="20"/>
        </w:rPr>
        <w:tab/>
      </w:r>
      <w:r w:rsidR="0059386B" w:rsidRPr="004A4FB2">
        <w:rPr>
          <w:sz w:val="20"/>
        </w:rPr>
        <w:tab/>
        <w:t xml:space="preserve">  </w:t>
      </w:r>
      <w:r w:rsidR="0059386B" w:rsidRPr="001F31CA">
        <w:rPr>
          <w:b/>
          <w:sz w:val="20"/>
        </w:rPr>
        <w:t>Material litigation</w:t>
      </w:r>
    </w:p>
    <w:p w:rsidR="0059386B" w:rsidRDefault="0059386B" w:rsidP="00491580">
      <w:pPr>
        <w:pStyle w:val="BodyText"/>
        <w:tabs>
          <w:tab w:val="left" w:pos="360"/>
          <w:tab w:val="left" w:pos="540"/>
          <w:tab w:val="left" w:pos="630"/>
          <w:tab w:val="left" w:pos="900"/>
          <w:tab w:val="left" w:pos="1080"/>
        </w:tabs>
        <w:ind w:left="720" w:right="-450" w:hanging="1800"/>
        <w:rPr>
          <w:sz w:val="20"/>
        </w:rPr>
      </w:pPr>
    </w:p>
    <w:p w:rsidR="00B27BAE" w:rsidRDefault="00B93910" w:rsidP="00FC40D8">
      <w:pPr>
        <w:pStyle w:val="BodyText"/>
        <w:tabs>
          <w:tab w:val="left" w:pos="360"/>
          <w:tab w:val="left" w:pos="540"/>
          <w:tab w:val="left" w:pos="630"/>
          <w:tab w:val="left" w:pos="1080"/>
        </w:tabs>
        <w:ind w:left="720" w:right="-90" w:hanging="1800"/>
        <w:rPr>
          <w:sz w:val="20"/>
        </w:rPr>
      </w:pPr>
      <w:r>
        <w:rPr>
          <w:sz w:val="20"/>
        </w:rPr>
        <w:tab/>
      </w:r>
      <w:r>
        <w:rPr>
          <w:sz w:val="20"/>
        </w:rPr>
        <w:tab/>
      </w:r>
      <w:r>
        <w:rPr>
          <w:sz w:val="20"/>
        </w:rPr>
        <w:tab/>
      </w:r>
      <w:r>
        <w:rPr>
          <w:sz w:val="20"/>
        </w:rPr>
        <w:tab/>
      </w:r>
      <w:r w:rsidR="00C40A5D">
        <w:rPr>
          <w:sz w:val="20"/>
        </w:rPr>
        <w:t>In addi</w:t>
      </w:r>
      <w:r w:rsidR="001A4185">
        <w:rPr>
          <w:sz w:val="20"/>
        </w:rPr>
        <w:t>tion to</w:t>
      </w:r>
      <w:r w:rsidR="00832469">
        <w:rPr>
          <w:sz w:val="20"/>
        </w:rPr>
        <w:t xml:space="preserve"> the</w:t>
      </w:r>
      <w:r w:rsidR="001A4185">
        <w:rPr>
          <w:sz w:val="20"/>
        </w:rPr>
        <w:t xml:space="preserve"> litigation reported in N</w:t>
      </w:r>
      <w:r w:rsidR="00C40A5D">
        <w:rPr>
          <w:sz w:val="20"/>
        </w:rPr>
        <w:t xml:space="preserve">ote A10, the other </w:t>
      </w:r>
      <w:r w:rsidR="007C678F">
        <w:rPr>
          <w:sz w:val="20"/>
        </w:rPr>
        <w:t>material litigation</w:t>
      </w:r>
      <w:r w:rsidR="00B27BAE">
        <w:rPr>
          <w:sz w:val="20"/>
        </w:rPr>
        <w:t xml:space="preserve"> as at the date of this announcement are as follows:-</w:t>
      </w:r>
    </w:p>
    <w:p w:rsidR="00B27BAE" w:rsidRDefault="00B27BAE" w:rsidP="00B27BAE">
      <w:pPr>
        <w:ind w:left="720" w:right="-450" w:hanging="1800"/>
        <w:jc w:val="both"/>
      </w:pPr>
    </w:p>
    <w:tbl>
      <w:tblPr>
        <w:tblW w:w="9960" w:type="dxa"/>
        <w:tblInd w:w="108" w:type="dxa"/>
        <w:tblLook w:val="04A0"/>
      </w:tblPr>
      <w:tblGrid>
        <w:gridCol w:w="561"/>
        <w:gridCol w:w="8979"/>
        <w:gridCol w:w="420"/>
      </w:tblGrid>
      <w:tr w:rsidR="00306F4D" w:rsidRPr="009449EA" w:rsidTr="00FC40D8">
        <w:trPr>
          <w:gridAfter w:val="1"/>
          <w:wAfter w:w="420" w:type="dxa"/>
          <w:trHeight w:val="285"/>
        </w:trPr>
        <w:tc>
          <w:tcPr>
            <w:tcW w:w="561" w:type="dxa"/>
            <w:tcBorders>
              <w:top w:val="nil"/>
              <w:left w:val="nil"/>
              <w:bottom w:val="nil"/>
              <w:right w:val="nil"/>
            </w:tcBorders>
            <w:shd w:val="clear" w:color="auto" w:fill="auto"/>
            <w:noWrap/>
            <w:vAlign w:val="bottom"/>
            <w:hideMark/>
          </w:tcPr>
          <w:p w:rsidR="00306F4D" w:rsidRPr="009449EA" w:rsidRDefault="00306F4D" w:rsidP="00306F4D">
            <w:pPr>
              <w:rPr>
                <w:rFonts w:ascii="Arial" w:hAnsi="Arial" w:cs="Arial"/>
              </w:rPr>
            </w:pPr>
            <w:r>
              <w:t xml:space="preserve">      </w:t>
            </w:r>
          </w:p>
        </w:tc>
        <w:tc>
          <w:tcPr>
            <w:tcW w:w="8979" w:type="dxa"/>
            <w:vMerge w:val="restart"/>
            <w:tcBorders>
              <w:top w:val="nil"/>
              <w:left w:val="nil"/>
              <w:bottom w:val="nil"/>
              <w:right w:val="nil"/>
            </w:tcBorders>
            <w:shd w:val="clear" w:color="auto" w:fill="auto"/>
            <w:hideMark/>
          </w:tcPr>
          <w:p w:rsidR="00306F4D" w:rsidRPr="00306F4D" w:rsidRDefault="00306F4D" w:rsidP="00306F4D">
            <w:pPr>
              <w:pStyle w:val="ListParagraph"/>
              <w:numPr>
                <w:ilvl w:val="0"/>
                <w:numId w:val="23"/>
              </w:numPr>
              <w:jc w:val="both"/>
            </w:pPr>
            <w:r w:rsidRPr="00306F4D">
              <w:t xml:space="preserve">MBF Cards (M’sia) </w:t>
            </w:r>
            <w:proofErr w:type="spellStart"/>
            <w:r w:rsidRPr="00306F4D">
              <w:t>Sdn</w:t>
            </w:r>
            <w:proofErr w:type="spellEnd"/>
            <w:r w:rsidRPr="00306F4D">
              <w:t xml:space="preserve">. Bhd. (“MBF Cards”) Vs </w:t>
            </w:r>
            <w:proofErr w:type="spellStart"/>
            <w:r w:rsidRPr="00306F4D">
              <w:t>GrandTech</w:t>
            </w:r>
            <w:proofErr w:type="spellEnd"/>
            <w:r w:rsidRPr="00306F4D">
              <w:t xml:space="preserve"> Systems </w:t>
            </w:r>
            <w:proofErr w:type="spellStart"/>
            <w:r w:rsidRPr="00306F4D">
              <w:t>Sdn</w:t>
            </w:r>
            <w:proofErr w:type="spellEnd"/>
            <w:r w:rsidRPr="00306F4D">
              <w:t>. Bhd. (“</w:t>
            </w:r>
            <w:proofErr w:type="spellStart"/>
            <w:r w:rsidRPr="00306F4D">
              <w:t>GrandTech</w:t>
            </w:r>
            <w:proofErr w:type="spellEnd"/>
            <w:r w:rsidRPr="00306F4D">
              <w:t xml:space="preserve">”) (“MBF Cards Action”) and </w:t>
            </w:r>
            <w:proofErr w:type="spellStart"/>
            <w:r w:rsidRPr="00306F4D">
              <w:t>GrandTech</w:t>
            </w:r>
            <w:proofErr w:type="spellEnd"/>
            <w:r w:rsidRPr="00306F4D">
              <w:t xml:space="preserve"> Vs MBF Cards (“</w:t>
            </w:r>
            <w:proofErr w:type="spellStart"/>
            <w:r w:rsidRPr="00306F4D">
              <w:t>GrandTech</w:t>
            </w:r>
            <w:proofErr w:type="spellEnd"/>
            <w:r w:rsidRPr="00306F4D">
              <w:t xml:space="preserve"> Action”)</w:t>
            </w:r>
          </w:p>
        </w:tc>
      </w:tr>
      <w:tr w:rsidR="00306F4D" w:rsidRPr="009449EA" w:rsidTr="00FC40D8">
        <w:trPr>
          <w:gridAfter w:val="1"/>
          <w:wAfter w:w="420" w:type="dxa"/>
          <w:trHeight w:val="285"/>
        </w:trPr>
        <w:tc>
          <w:tcPr>
            <w:tcW w:w="561" w:type="dxa"/>
            <w:tcBorders>
              <w:top w:val="nil"/>
              <w:left w:val="nil"/>
              <w:bottom w:val="nil"/>
              <w:right w:val="nil"/>
            </w:tcBorders>
            <w:shd w:val="clear" w:color="auto" w:fill="auto"/>
            <w:noWrap/>
            <w:vAlign w:val="bottom"/>
            <w:hideMark/>
          </w:tcPr>
          <w:p w:rsidR="00306F4D" w:rsidRPr="009449EA" w:rsidRDefault="00306F4D" w:rsidP="00306F4D">
            <w:pPr>
              <w:rPr>
                <w:rFonts w:ascii="Arial" w:hAnsi="Arial" w:cs="Arial"/>
              </w:rPr>
            </w:pPr>
          </w:p>
        </w:tc>
        <w:tc>
          <w:tcPr>
            <w:tcW w:w="8979" w:type="dxa"/>
            <w:vMerge/>
            <w:tcBorders>
              <w:top w:val="nil"/>
              <w:left w:val="nil"/>
              <w:bottom w:val="nil"/>
              <w:right w:val="nil"/>
            </w:tcBorders>
            <w:vAlign w:val="center"/>
            <w:hideMark/>
          </w:tcPr>
          <w:p w:rsidR="00306F4D" w:rsidRPr="00306F4D" w:rsidRDefault="00306F4D" w:rsidP="00306F4D">
            <w:pPr>
              <w:jc w:val="both"/>
            </w:pPr>
          </w:p>
        </w:tc>
      </w:tr>
      <w:tr w:rsidR="00306F4D" w:rsidRPr="009449EA" w:rsidTr="00FC40D8">
        <w:trPr>
          <w:gridAfter w:val="1"/>
          <w:wAfter w:w="420" w:type="dxa"/>
          <w:trHeight w:val="285"/>
        </w:trPr>
        <w:tc>
          <w:tcPr>
            <w:tcW w:w="561" w:type="dxa"/>
            <w:tcBorders>
              <w:top w:val="nil"/>
              <w:left w:val="nil"/>
              <w:bottom w:val="nil"/>
              <w:right w:val="nil"/>
            </w:tcBorders>
            <w:shd w:val="clear" w:color="auto" w:fill="auto"/>
            <w:noWrap/>
            <w:vAlign w:val="bottom"/>
            <w:hideMark/>
          </w:tcPr>
          <w:p w:rsidR="00306F4D" w:rsidRPr="009449EA" w:rsidRDefault="00306F4D" w:rsidP="00306F4D">
            <w:pPr>
              <w:rPr>
                <w:rFonts w:ascii="Arial" w:hAnsi="Arial" w:cs="Arial"/>
              </w:rPr>
            </w:pPr>
            <w:r>
              <w:rPr>
                <w:rFonts w:ascii="Arial" w:hAnsi="Arial" w:cs="Arial"/>
              </w:rPr>
              <w:t xml:space="preserve">          </w:t>
            </w:r>
          </w:p>
        </w:tc>
        <w:tc>
          <w:tcPr>
            <w:tcW w:w="8979" w:type="dxa"/>
            <w:vMerge w:val="restart"/>
            <w:tcBorders>
              <w:top w:val="nil"/>
              <w:left w:val="nil"/>
              <w:bottom w:val="nil"/>
              <w:right w:val="nil"/>
            </w:tcBorders>
            <w:shd w:val="clear" w:color="auto" w:fill="auto"/>
            <w:hideMark/>
          </w:tcPr>
          <w:p w:rsidR="00306F4D" w:rsidRPr="00306F4D" w:rsidRDefault="00306F4D" w:rsidP="00306F4D">
            <w:pPr>
              <w:ind w:left="501" w:hanging="501"/>
              <w:jc w:val="both"/>
            </w:pPr>
            <w:r>
              <w:t xml:space="preserve">         </w:t>
            </w:r>
            <w:r w:rsidRPr="00306F4D">
              <w:t xml:space="preserve">The MBF Cards Action is a claim for approximately RM13.6 million for the non-fulfillment of certain representations by </w:t>
            </w:r>
            <w:proofErr w:type="spellStart"/>
            <w:r w:rsidRPr="00306F4D">
              <w:t>GrandTech</w:t>
            </w:r>
            <w:proofErr w:type="spellEnd"/>
            <w:r w:rsidRPr="00306F4D">
              <w:t>, the supplier for goods used in one of MBF Cards’ credit card marketing campaigns.</w:t>
            </w:r>
          </w:p>
        </w:tc>
      </w:tr>
      <w:tr w:rsidR="00306F4D" w:rsidRPr="009449EA" w:rsidTr="00FC40D8">
        <w:trPr>
          <w:gridAfter w:val="1"/>
          <w:wAfter w:w="420" w:type="dxa"/>
          <w:trHeight w:val="285"/>
        </w:trPr>
        <w:tc>
          <w:tcPr>
            <w:tcW w:w="561" w:type="dxa"/>
            <w:tcBorders>
              <w:top w:val="nil"/>
              <w:left w:val="nil"/>
              <w:bottom w:val="nil"/>
              <w:right w:val="nil"/>
            </w:tcBorders>
            <w:shd w:val="clear" w:color="auto" w:fill="auto"/>
            <w:noWrap/>
            <w:vAlign w:val="bottom"/>
            <w:hideMark/>
          </w:tcPr>
          <w:p w:rsidR="00306F4D" w:rsidRPr="009449EA" w:rsidRDefault="00306F4D" w:rsidP="00306F4D">
            <w:pPr>
              <w:tabs>
                <w:tab w:val="left" w:pos="339"/>
              </w:tabs>
              <w:rPr>
                <w:rFonts w:ascii="Arial" w:hAnsi="Arial" w:cs="Arial"/>
              </w:rPr>
            </w:pPr>
          </w:p>
        </w:tc>
        <w:tc>
          <w:tcPr>
            <w:tcW w:w="8979" w:type="dxa"/>
            <w:vMerge/>
            <w:tcBorders>
              <w:top w:val="nil"/>
              <w:left w:val="nil"/>
              <w:bottom w:val="nil"/>
              <w:right w:val="nil"/>
            </w:tcBorders>
            <w:vAlign w:val="center"/>
            <w:hideMark/>
          </w:tcPr>
          <w:p w:rsidR="00306F4D" w:rsidRPr="00306F4D" w:rsidRDefault="00306F4D" w:rsidP="00306F4D">
            <w:pPr>
              <w:jc w:val="both"/>
            </w:pPr>
          </w:p>
        </w:tc>
      </w:tr>
      <w:tr w:rsidR="00306F4D" w:rsidRPr="009449EA" w:rsidTr="00FC40D8">
        <w:trPr>
          <w:gridAfter w:val="1"/>
          <w:wAfter w:w="420" w:type="dxa"/>
          <w:trHeight w:val="285"/>
        </w:trPr>
        <w:tc>
          <w:tcPr>
            <w:tcW w:w="561" w:type="dxa"/>
            <w:tcBorders>
              <w:top w:val="nil"/>
              <w:left w:val="nil"/>
              <w:bottom w:val="nil"/>
              <w:right w:val="nil"/>
            </w:tcBorders>
            <w:shd w:val="clear" w:color="auto" w:fill="auto"/>
            <w:noWrap/>
            <w:vAlign w:val="bottom"/>
            <w:hideMark/>
          </w:tcPr>
          <w:p w:rsidR="00306F4D" w:rsidRPr="009449EA" w:rsidRDefault="00306F4D" w:rsidP="00306F4D">
            <w:pPr>
              <w:rPr>
                <w:rFonts w:ascii="Arial" w:hAnsi="Arial" w:cs="Arial"/>
              </w:rPr>
            </w:pPr>
          </w:p>
        </w:tc>
        <w:tc>
          <w:tcPr>
            <w:tcW w:w="8979" w:type="dxa"/>
            <w:vMerge/>
            <w:tcBorders>
              <w:top w:val="nil"/>
              <w:left w:val="nil"/>
              <w:bottom w:val="nil"/>
              <w:right w:val="nil"/>
            </w:tcBorders>
            <w:vAlign w:val="center"/>
            <w:hideMark/>
          </w:tcPr>
          <w:p w:rsidR="00306F4D" w:rsidRPr="00306F4D" w:rsidRDefault="00306F4D" w:rsidP="00306F4D">
            <w:pPr>
              <w:jc w:val="both"/>
            </w:pPr>
          </w:p>
        </w:tc>
      </w:tr>
      <w:tr w:rsidR="00306F4D" w:rsidRPr="009449EA" w:rsidTr="00FC40D8">
        <w:trPr>
          <w:gridAfter w:val="1"/>
          <w:wAfter w:w="420" w:type="dxa"/>
          <w:trHeight w:val="285"/>
        </w:trPr>
        <w:tc>
          <w:tcPr>
            <w:tcW w:w="561" w:type="dxa"/>
            <w:tcBorders>
              <w:top w:val="nil"/>
              <w:left w:val="nil"/>
              <w:bottom w:val="nil"/>
              <w:right w:val="nil"/>
            </w:tcBorders>
            <w:shd w:val="clear" w:color="auto" w:fill="auto"/>
            <w:noWrap/>
            <w:vAlign w:val="bottom"/>
            <w:hideMark/>
          </w:tcPr>
          <w:p w:rsidR="00306F4D" w:rsidRPr="009449EA" w:rsidRDefault="00306F4D" w:rsidP="00306F4D">
            <w:pPr>
              <w:rPr>
                <w:rFonts w:ascii="Arial" w:hAnsi="Arial" w:cs="Arial"/>
              </w:rPr>
            </w:pPr>
          </w:p>
        </w:tc>
        <w:tc>
          <w:tcPr>
            <w:tcW w:w="8979" w:type="dxa"/>
            <w:vMerge w:val="restart"/>
            <w:tcBorders>
              <w:top w:val="nil"/>
              <w:left w:val="nil"/>
              <w:bottom w:val="nil"/>
              <w:right w:val="nil"/>
            </w:tcBorders>
            <w:shd w:val="clear" w:color="auto" w:fill="auto"/>
            <w:hideMark/>
          </w:tcPr>
          <w:p w:rsidR="00306F4D" w:rsidRPr="00306F4D" w:rsidRDefault="00306F4D" w:rsidP="00306F4D">
            <w:pPr>
              <w:tabs>
                <w:tab w:val="left" w:pos="498"/>
                <w:tab w:val="left" w:pos="727"/>
              </w:tabs>
              <w:ind w:left="501"/>
              <w:jc w:val="both"/>
            </w:pPr>
            <w:r w:rsidRPr="00306F4D">
              <w:t xml:space="preserve">The </w:t>
            </w:r>
            <w:proofErr w:type="spellStart"/>
            <w:r w:rsidRPr="00306F4D">
              <w:t>GrandTech</w:t>
            </w:r>
            <w:proofErr w:type="spellEnd"/>
            <w:r w:rsidRPr="00306F4D">
              <w:t xml:space="preserve"> Action for approximately RM6.4 million was filed for the goods delivered, anticipated profit from the remaining undelivered goods and other related expenses. </w:t>
            </w:r>
            <w:proofErr w:type="spellStart"/>
            <w:r w:rsidRPr="00306F4D">
              <w:t>GrandTech</w:t>
            </w:r>
            <w:proofErr w:type="spellEnd"/>
            <w:r w:rsidRPr="00306F4D">
              <w:t xml:space="preserve"> had also filed an application for summary relief and interim payment for about RM4.0 million with Kuala Lumpur High Court ("KL High Court"). The KL High Court had dismissed </w:t>
            </w:r>
            <w:proofErr w:type="spellStart"/>
            <w:r w:rsidRPr="00306F4D">
              <w:t>GrandTech’s</w:t>
            </w:r>
            <w:proofErr w:type="spellEnd"/>
            <w:r w:rsidRPr="00306F4D">
              <w:t xml:space="preserve"> summary relief application and appeal against the said dismissal. </w:t>
            </w:r>
            <w:proofErr w:type="spellStart"/>
            <w:r w:rsidRPr="00306F4D">
              <w:t>GrandTech</w:t>
            </w:r>
            <w:proofErr w:type="spellEnd"/>
            <w:r w:rsidRPr="00306F4D">
              <w:t xml:space="preserve"> thereafter filed an appeal to the Court of Appeal against the order. At the hearing on 5 March 2010, </w:t>
            </w:r>
            <w:proofErr w:type="spellStart"/>
            <w:r w:rsidRPr="00306F4D">
              <w:t>GrandTech</w:t>
            </w:r>
            <w:proofErr w:type="spellEnd"/>
            <w:r w:rsidRPr="00306F4D">
              <w:t xml:space="preserve"> had withdrawn its appeal against the High Court's Order.</w:t>
            </w:r>
          </w:p>
        </w:tc>
      </w:tr>
      <w:tr w:rsidR="00306F4D" w:rsidRPr="009449EA" w:rsidTr="00FC40D8">
        <w:trPr>
          <w:gridAfter w:val="1"/>
          <w:wAfter w:w="420" w:type="dxa"/>
          <w:trHeight w:val="285"/>
        </w:trPr>
        <w:tc>
          <w:tcPr>
            <w:tcW w:w="561" w:type="dxa"/>
            <w:tcBorders>
              <w:top w:val="nil"/>
              <w:left w:val="nil"/>
              <w:bottom w:val="nil"/>
              <w:right w:val="nil"/>
            </w:tcBorders>
            <w:shd w:val="clear" w:color="auto" w:fill="auto"/>
            <w:noWrap/>
            <w:vAlign w:val="bottom"/>
            <w:hideMark/>
          </w:tcPr>
          <w:p w:rsidR="00306F4D" w:rsidRPr="009449EA" w:rsidRDefault="00306F4D" w:rsidP="00306F4D">
            <w:pPr>
              <w:ind w:right="-717"/>
              <w:rPr>
                <w:rFonts w:ascii="Arial" w:hAnsi="Arial" w:cs="Arial"/>
              </w:rPr>
            </w:pPr>
            <w:r>
              <w:rPr>
                <w:rFonts w:ascii="Arial" w:hAnsi="Arial" w:cs="Arial"/>
              </w:rPr>
              <w:t xml:space="preserve">    </w:t>
            </w:r>
          </w:p>
        </w:tc>
        <w:tc>
          <w:tcPr>
            <w:tcW w:w="8979" w:type="dxa"/>
            <w:vMerge/>
            <w:tcBorders>
              <w:top w:val="nil"/>
              <w:left w:val="nil"/>
              <w:bottom w:val="nil"/>
              <w:right w:val="nil"/>
            </w:tcBorders>
            <w:vAlign w:val="center"/>
            <w:hideMark/>
          </w:tcPr>
          <w:p w:rsidR="00306F4D" w:rsidRPr="00306F4D" w:rsidRDefault="00306F4D" w:rsidP="00306F4D">
            <w:pPr>
              <w:jc w:val="both"/>
            </w:pPr>
          </w:p>
        </w:tc>
      </w:tr>
      <w:tr w:rsidR="00306F4D" w:rsidRPr="009449EA" w:rsidTr="00FC40D8">
        <w:trPr>
          <w:gridAfter w:val="1"/>
          <w:wAfter w:w="420" w:type="dxa"/>
          <w:trHeight w:val="285"/>
        </w:trPr>
        <w:tc>
          <w:tcPr>
            <w:tcW w:w="561" w:type="dxa"/>
            <w:tcBorders>
              <w:top w:val="nil"/>
              <w:left w:val="nil"/>
              <w:bottom w:val="nil"/>
              <w:right w:val="nil"/>
            </w:tcBorders>
            <w:shd w:val="clear" w:color="auto" w:fill="auto"/>
            <w:noWrap/>
            <w:vAlign w:val="bottom"/>
            <w:hideMark/>
          </w:tcPr>
          <w:p w:rsidR="00306F4D" w:rsidRPr="009449EA" w:rsidRDefault="00306F4D" w:rsidP="00306F4D">
            <w:pPr>
              <w:rPr>
                <w:rFonts w:ascii="Arial" w:hAnsi="Arial" w:cs="Arial"/>
              </w:rPr>
            </w:pPr>
          </w:p>
        </w:tc>
        <w:tc>
          <w:tcPr>
            <w:tcW w:w="8979" w:type="dxa"/>
            <w:vMerge/>
            <w:tcBorders>
              <w:top w:val="nil"/>
              <w:left w:val="nil"/>
              <w:bottom w:val="nil"/>
              <w:right w:val="nil"/>
            </w:tcBorders>
            <w:vAlign w:val="center"/>
            <w:hideMark/>
          </w:tcPr>
          <w:p w:rsidR="00306F4D" w:rsidRPr="00306F4D" w:rsidRDefault="00306F4D" w:rsidP="00306F4D">
            <w:pPr>
              <w:jc w:val="both"/>
            </w:pPr>
          </w:p>
        </w:tc>
      </w:tr>
      <w:tr w:rsidR="00306F4D" w:rsidRPr="009449EA" w:rsidTr="00FC40D8">
        <w:trPr>
          <w:gridAfter w:val="1"/>
          <w:wAfter w:w="420" w:type="dxa"/>
          <w:trHeight w:val="285"/>
        </w:trPr>
        <w:tc>
          <w:tcPr>
            <w:tcW w:w="561" w:type="dxa"/>
            <w:tcBorders>
              <w:top w:val="nil"/>
              <w:left w:val="nil"/>
              <w:bottom w:val="nil"/>
              <w:right w:val="nil"/>
            </w:tcBorders>
            <w:shd w:val="clear" w:color="auto" w:fill="auto"/>
            <w:noWrap/>
            <w:vAlign w:val="bottom"/>
            <w:hideMark/>
          </w:tcPr>
          <w:p w:rsidR="00306F4D" w:rsidRPr="009449EA" w:rsidRDefault="00306F4D" w:rsidP="00306F4D">
            <w:pPr>
              <w:rPr>
                <w:rFonts w:ascii="Arial" w:hAnsi="Arial" w:cs="Arial"/>
              </w:rPr>
            </w:pPr>
          </w:p>
        </w:tc>
        <w:tc>
          <w:tcPr>
            <w:tcW w:w="8979" w:type="dxa"/>
            <w:vMerge/>
            <w:tcBorders>
              <w:top w:val="nil"/>
              <w:left w:val="nil"/>
              <w:bottom w:val="nil"/>
              <w:right w:val="nil"/>
            </w:tcBorders>
            <w:vAlign w:val="center"/>
            <w:hideMark/>
          </w:tcPr>
          <w:p w:rsidR="00306F4D" w:rsidRPr="00306F4D" w:rsidRDefault="00306F4D" w:rsidP="00306F4D">
            <w:pPr>
              <w:jc w:val="both"/>
            </w:pPr>
          </w:p>
        </w:tc>
      </w:tr>
      <w:tr w:rsidR="00306F4D" w:rsidRPr="009449EA" w:rsidTr="00FC40D8">
        <w:trPr>
          <w:gridAfter w:val="1"/>
          <w:wAfter w:w="420" w:type="dxa"/>
          <w:trHeight w:val="285"/>
        </w:trPr>
        <w:tc>
          <w:tcPr>
            <w:tcW w:w="561" w:type="dxa"/>
            <w:tcBorders>
              <w:top w:val="nil"/>
              <w:left w:val="nil"/>
              <w:bottom w:val="nil"/>
              <w:right w:val="nil"/>
            </w:tcBorders>
            <w:shd w:val="clear" w:color="auto" w:fill="auto"/>
            <w:noWrap/>
            <w:vAlign w:val="bottom"/>
            <w:hideMark/>
          </w:tcPr>
          <w:p w:rsidR="00306F4D" w:rsidRPr="009449EA" w:rsidRDefault="00306F4D" w:rsidP="00306F4D">
            <w:pPr>
              <w:rPr>
                <w:rFonts w:ascii="Arial" w:hAnsi="Arial" w:cs="Arial"/>
              </w:rPr>
            </w:pPr>
          </w:p>
        </w:tc>
        <w:tc>
          <w:tcPr>
            <w:tcW w:w="8979" w:type="dxa"/>
            <w:vMerge/>
            <w:tcBorders>
              <w:top w:val="nil"/>
              <w:left w:val="nil"/>
              <w:bottom w:val="nil"/>
              <w:right w:val="nil"/>
            </w:tcBorders>
            <w:vAlign w:val="center"/>
            <w:hideMark/>
          </w:tcPr>
          <w:p w:rsidR="00306F4D" w:rsidRPr="00306F4D" w:rsidRDefault="00306F4D" w:rsidP="00306F4D">
            <w:pPr>
              <w:jc w:val="both"/>
            </w:pPr>
          </w:p>
        </w:tc>
      </w:tr>
      <w:tr w:rsidR="00306F4D" w:rsidRPr="009449EA" w:rsidTr="00FC40D8">
        <w:trPr>
          <w:gridAfter w:val="1"/>
          <w:wAfter w:w="420" w:type="dxa"/>
          <w:trHeight w:val="285"/>
        </w:trPr>
        <w:tc>
          <w:tcPr>
            <w:tcW w:w="561" w:type="dxa"/>
            <w:tcBorders>
              <w:top w:val="nil"/>
              <w:left w:val="nil"/>
              <w:bottom w:val="nil"/>
              <w:right w:val="nil"/>
            </w:tcBorders>
            <w:shd w:val="clear" w:color="auto" w:fill="auto"/>
            <w:noWrap/>
            <w:vAlign w:val="bottom"/>
            <w:hideMark/>
          </w:tcPr>
          <w:p w:rsidR="00306F4D" w:rsidRPr="009449EA" w:rsidRDefault="00306F4D" w:rsidP="00306F4D">
            <w:pPr>
              <w:rPr>
                <w:rFonts w:ascii="Arial" w:hAnsi="Arial" w:cs="Arial"/>
              </w:rPr>
            </w:pPr>
          </w:p>
        </w:tc>
        <w:tc>
          <w:tcPr>
            <w:tcW w:w="8979" w:type="dxa"/>
            <w:vMerge/>
            <w:tcBorders>
              <w:top w:val="nil"/>
              <w:left w:val="nil"/>
              <w:bottom w:val="nil"/>
              <w:right w:val="nil"/>
            </w:tcBorders>
            <w:vAlign w:val="center"/>
            <w:hideMark/>
          </w:tcPr>
          <w:p w:rsidR="00306F4D" w:rsidRPr="00306F4D" w:rsidRDefault="00306F4D" w:rsidP="00306F4D">
            <w:pPr>
              <w:jc w:val="both"/>
            </w:pPr>
          </w:p>
        </w:tc>
      </w:tr>
      <w:tr w:rsidR="00306F4D" w:rsidRPr="009449EA" w:rsidTr="00FC40D8">
        <w:trPr>
          <w:gridAfter w:val="1"/>
          <w:wAfter w:w="420" w:type="dxa"/>
          <w:trHeight w:val="293"/>
        </w:trPr>
        <w:tc>
          <w:tcPr>
            <w:tcW w:w="561" w:type="dxa"/>
            <w:tcBorders>
              <w:top w:val="nil"/>
              <w:left w:val="nil"/>
              <w:bottom w:val="nil"/>
              <w:right w:val="nil"/>
            </w:tcBorders>
            <w:shd w:val="clear" w:color="auto" w:fill="auto"/>
            <w:noWrap/>
            <w:vAlign w:val="bottom"/>
            <w:hideMark/>
          </w:tcPr>
          <w:p w:rsidR="00306F4D" w:rsidRPr="009449EA" w:rsidRDefault="00306F4D" w:rsidP="00306F4D">
            <w:pPr>
              <w:rPr>
                <w:rFonts w:ascii="Arial" w:hAnsi="Arial" w:cs="Arial"/>
              </w:rPr>
            </w:pPr>
          </w:p>
        </w:tc>
        <w:tc>
          <w:tcPr>
            <w:tcW w:w="8979" w:type="dxa"/>
            <w:vMerge w:val="restart"/>
            <w:tcBorders>
              <w:top w:val="nil"/>
              <w:left w:val="nil"/>
              <w:bottom w:val="nil"/>
              <w:right w:val="nil"/>
            </w:tcBorders>
            <w:shd w:val="clear" w:color="auto" w:fill="auto"/>
            <w:hideMark/>
          </w:tcPr>
          <w:p w:rsidR="00306F4D" w:rsidRPr="00306F4D" w:rsidRDefault="00306F4D" w:rsidP="00306F4D">
            <w:pPr>
              <w:ind w:left="501"/>
              <w:jc w:val="both"/>
            </w:pPr>
            <w:r w:rsidRPr="00306F4D">
              <w:t>Both the actions have been consolidated and the full trial fixed for 24 to 26 May 2010 did not proceed. In the case management held on 24 March 2011, it was decided that the case be heard by a new judge and the case management fixed on 11 May 2011 with the trial date on 6 to 8 September 2011.</w:t>
            </w:r>
          </w:p>
        </w:tc>
      </w:tr>
      <w:tr w:rsidR="00306F4D" w:rsidRPr="009449EA" w:rsidTr="00FC40D8">
        <w:trPr>
          <w:gridAfter w:val="1"/>
          <w:wAfter w:w="420" w:type="dxa"/>
          <w:trHeight w:val="293"/>
        </w:trPr>
        <w:tc>
          <w:tcPr>
            <w:tcW w:w="561" w:type="dxa"/>
            <w:tcBorders>
              <w:top w:val="nil"/>
              <w:left w:val="nil"/>
              <w:bottom w:val="nil"/>
              <w:right w:val="nil"/>
            </w:tcBorders>
            <w:shd w:val="clear" w:color="auto" w:fill="auto"/>
            <w:noWrap/>
            <w:vAlign w:val="bottom"/>
            <w:hideMark/>
          </w:tcPr>
          <w:p w:rsidR="00306F4D" w:rsidRPr="009449EA" w:rsidRDefault="00306F4D" w:rsidP="00306F4D">
            <w:pPr>
              <w:rPr>
                <w:rFonts w:ascii="Arial" w:hAnsi="Arial" w:cs="Arial"/>
              </w:rPr>
            </w:pPr>
          </w:p>
        </w:tc>
        <w:tc>
          <w:tcPr>
            <w:tcW w:w="8979" w:type="dxa"/>
            <w:vMerge/>
            <w:tcBorders>
              <w:top w:val="nil"/>
              <w:left w:val="nil"/>
              <w:bottom w:val="nil"/>
              <w:right w:val="nil"/>
            </w:tcBorders>
            <w:vAlign w:val="center"/>
            <w:hideMark/>
          </w:tcPr>
          <w:p w:rsidR="00306F4D" w:rsidRPr="00306F4D" w:rsidRDefault="00306F4D" w:rsidP="00306F4D"/>
        </w:tc>
      </w:tr>
      <w:tr w:rsidR="00306F4D" w:rsidRPr="009449EA" w:rsidTr="00FC40D8">
        <w:trPr>
          <w:gridAfter w:val="1"/>
          <w:wAfter w:w="420" w:type="dxa"/>
          <w:trHeight w:val="293"/>
        </w:trPr>
        <w:tc>
          <w:tcPr>
            <w:tcW w:w="561" w:type="dxa"/>
            <w:tcBorders>
              <w:top w:val="nil"/>
              <w:left w:val="nil"/>
              <w:bottom w:val="nil"/>
              <w:right w:val="nil"/>
            </w:tcBorders>
            <w:shd w:val="clear" w:color="auto" w:fill="auto"/>
            <w:noWrap/>
            <w:vAlign w:val="bottom"/>
            <w:hideMark/>
          </w:tcPr>
          <w:p w:rsidR="00306F4D" w:rsidRPr="009449EA" w:rsidRDefault="00306F4D" w:rsidP="00306F4D">
            <w:pPr>
              <w:rPr>
                <w:rFonts w:ascii="Arial" w:hAnsi="Arial" w:cs="Arial"/>
              </w:rPr>
            </w:pPr>
          </w:p>
        </w:tc>
        <w:tc>
          <w:tcPr>
            <w:tcW w:w="8979" w:type="dxa"/>
            <w:vMerge/>
            <w:tcBorders>
              <w:top w:val="nil"/>
              <w:left w:val="nil"/>
              <w:bottom w:val="nil"/>
              <w:right w:val="nil"/>
            </w:tcBorders>
            <w:vAlign w:val="center"/>
            <w:hideMark/>
          </w:tcPr>
          <w:p w:rsidR="00306F4D" w:rsidRPr="00306F4D" w:rsidRDefault="00306F4D" w:rsidP="00306F4D"/>
        </w:tc>
      </w:tr>
      <w:tr w:rsidR="00306F4D" w:rsidRPr="009449EA" w:rsidTr="00FC40D8">
        <w:trPr>
          <w:gridAfter w:val="1"/>
          <w:wAfter w:w="420" w:type="dxa"/>
          <w:trHeight w:val="293"/>
        </w:trPr>
        <w:tc>
          <w:tcPr>
            <w:tcW w:w="561" w:type="dxa"/>
            <w:tcBorders>
              <w:top w:val="nil"/>
              <w:left w:val="nil"/>
              <w:bottom w:val="nil"/>
              <w:right w:val="nil"/>
            </w:tcBorders>
            <w:shd w:val="clear" w:color="auto" w:fill="auto"/>
            <w:noWrap/>
            <w:vAlign w:val="bottom"/>
            <w:hideMark/>
          </w:tcPr>
          <w:p w:rsidR="00306F4D" w:rsidRPr="009449EA" w:rsidRDefault="00306F4D" w:rsidP="00306F4D">
            <w:pPr>
              <w:rPr>
                <w:rFonts w:ascii="Arial" w:hAnsi="Arial" w:cs="Arial"/>
              </w:rPr>
            </w:pPr>
          </w:p>
        </w:tc>
        <w:tc>
          <w:tcPr>
            <w:tcW w:w="8979" w:type="dxa"/>
            <w:tcBorders>
              <w:top w:val="nil"/>
              <w:left w:val="nil"/>
              <w:bottom w:val="nil"/>
              <w:right w:val="nil"/>
            </w:tcBorders>
            <w:shd w:val="clear" w:color="auto" w:fill="auto"/>
            <w:hideMark/>
          </w:tcPr>
          <w:p w:rsidR="00306F4D" w:rsidRPr="00306F4D" w:rsidRDefault="00306F4D" w:rsidP="00FC40D8">
            <w:pPr>
              <w:ind w:left="501"/>
            </w:pPr>
            <w:r w:rsidRPr="00306F4D">
              <w:t xml:space="preserve">The Board is confident that MBF Cards has a sound claim for the MBF Cards Action and a good </w:t>
            </w:r>
            <w:proofErr w:type="spellStart"/>
            <w:r w:rsidRPr="00306F4D">
              <w:t>defence</w:t>
            </w:r>
            <w:proofErr w:type="spellEnd"/>
            <w:r w:rsidRPr="00306F4D">
              <w:t xml:space="preserve"> for the </w:t>
            </w:r>
            <w:proofErr w:type="spellStart"/>
            <w:r w:rsidRPr="00306F4D">
              <w:t>Grandtech</w:t>
            </w:r>
            <w:proofErr w:type="spellEnd"/>
            <w:r w:rsidRPr="00306F4D">
              <w:t xml:space="preserve"> Action.</w:t>
            </w:r>
          </w:p>
        </w:tc>
      </w:tr>
      <w:tr w:rsidR="00306F4D" w:rsidRPr="009449EA" w:rsidTr="00306F4D">
        <w:trPr>
          <w:trHeight w:val="293"/>
        </w:trPr>
        <w:tc>
          <w:tcPr>
            <w:tcW w:w="561" w:type="dxa"/>
            <w:tcBorders>
              <w:top w:val="nil"/>
              <w:left w:val="nil"/>
              <w:bottom w:val="nil"/>
              <w:right w:val="nil"/>
            </w:tcBorders>
            <w:shd w:val="clear" w:color="auto" w:fill="auto"/>
            <w:noWrap/>
            <w:vAlign w:val="bottom"/>
          </w:tcPr>
          <w:p w:rsidR="00306F4D" w:rsidRPr="009449EA" w:rsidRDefault="00306F4D" w:rsidP="00306F4D">
            <w:pPr>
              <w:rPr>
                <w:rFonts w:ascii="Arial" w:hAnsi="Arial" w:cs="Arial"/>
              </w:rPr>
            </w:pPr>
          </w:p>
        </w:tc>
        <w:tc>
          <w:tcPr>
            <w:tcW w:w="9399" w:type="dxa"/>
            <w:gridSpan w:val="2"/>
            <w:tcBorders>
              <w:top w:val="nil"/>
              <w:left w:val="nil"/>
              <w:bottom w:val="nil"/>
              <w:right w:val="nil"/>
            </w:tcBorders>
            <w:shd w:val="clear" w:color="auto" w:fill="auto"/>
          </w:tcPr>
          <w:p w:rsidR="00306F4D" w:rsidRPr="00306F4D" w:rsidRDefault="00306F4D" w:rsidP="00306F4D">
            <w:pPr>
              <w:ind w:firstLine="501"/>
            </w:pPr>
          </w:p>
        </w:tc>
      </w:tr>
    </w:tbl>
    <w:p w:rsidR="00B27BAE" w:rsidRDefault="00B27BAE" w:rsidP="00306F4D">
      <w:pPr>
        <w:ind w:left="1080" w:right="-180" w:hanging="360"/>
        <w:jc w:val="both"/>
        <w:outlineLvl w:val="0"/>
      </w:pPr>
      <w:r w:rsidRPr="00B27BAE">
        <w:t xml:space="preserve"> </w:t>
      </w:r>
      <w:r w:rsidRPr="00B27BAE">
        <w:tab/>
      </w:r>
    </w:p>
    <w:p w:rsidR="00B27BAE" w:rsidRPr="00D83D2D" w:rsidRDefault="00B27BAE" w:rsidP="00551120">
      <w:pPr>
        <w:pStyle w:val="BodyText"/>
        <w:ind w:left="1080" w:right="-90" w:hanging="360"/>
        <w:outlineLvl w:val="0"/>
        <w:rPr>
          <w:sz w:val="20"/>
        </w:rPr>
      </w:pPr>
      <w:r>
        <w:rPr>
          <w:sz w:val="20"/>
        </w:rPr>
        <w:t>b)</w:t>
      </w:r>
      <w:r>
        <w:rPr>
          <w:sz w:val="20"/>
        </w:rPr>
        <w:tab/>
      </w:r>
      <w:r w:rsidRPr="00D83D2D">
        <w:rPr>
          <w:sz w:val="20"/>
        </w:rPr>
        <w:t>MBf</w:t>
      </w:r>
      <w:r w:rsidR="00C40A5D">
        <w:rPr>
          <w:sz w:val="20"/>
        </w:rPr>
        <w:t xml:space="preserve"> </w:t>
      </w:r>
      <w:r w:rsidRPr="00D83D2D">
        <w:rPr>
          <w:sz w:val="20"/>
        </w:rPr>
        <w:t>H</w:t>
      </w:r>
      <w:r w:rsidR="00C40A5D">
        <w:rPr>
          <w:sz w:val="20"/>
        </w:rPr>
        <w:t xml:space="preserve">oldings </w:t>
      </w:r>
      <w:proofErr w:type="spellStart"/>
      <w:r w:rsidR="00C40A5D">
        <w:rPr>
          <w:sz w:val="20"/>
        </w:rPr>
        <w:t>Bhd</w:t>
      </w:r>
      <w:proofErr w:type="spellEnd"/>
      <w:r w:rsidRPr="00D83D2D">
        <w:rPr>
          <w:sz w:val="20"/>
        </w:rPr>
        <w:t xml:space="preserve"> &amp; MBf Finance </w:t>
      </w:r>
      <w:proofErr w:type="spellStart"/>
      <w:r w:rsidRPr="00D83D2D">
        <w:rPr>
          <w:sz w:val="20"/>
        </w:rPr>
        <w:t>Berhad</w:t>
      </w:r>
      <w:proofErr w:type="spellEnd"/>
      <w:r w:rsidRPr="00D83D2D">
        <w:rPr>
          <w:sz w:val="20"/>
        </w:rPr>
        <w:t xml:space="preserve"> (now </w:t>
      </w:r>
      <w:proofErr w:type="spellStart"/>
      <w:r w:rsidRPr="00D83D2D">
        <w:rPr>
          <w:sz w:val="20"/>
        </w:rPr>
        <w:t>AmBank</w:t>
      </w:r>
      <w:proofErr w:type="spellEnd"/>
      <w:r w:rsidRPr="00D83D2D">
        <w:rPr>
          <w:sz w:val="20"/>
        </w:rPr>
        <w:t xml:space="preserve"> (M) </w:t>
      </w:r>
      <w:proofErr w:type="spellStart"/>
      <w:r w:rsidRPr="00D83D2D">
        <w:rPr>
          <w:sz w:val="20"/>
        </w:rPr>
        <w:t>Berhad</w:t>
      </w:r>
      <w:proofErr w:type="spellEnd"/>
      <w:r>
        <w:rPr>
          <w:sz w:val="20"/>
        </w:rPr>
        <w:t>)</w:t>
      </w:r>
      <w:r w:rsidRPr="00D83D2D">
        <w:rPr>
          <w:sz w:val="20"/>
        </w:rPr>
        <w:t xml:space="preserve"> (collectively called the “Plaintiffs”) Vs Wee Choo </w:t>
      </w:r>
      <w:proofErr w:type="spellStart"/>
      <w:r w:rsidRPr="00D83D2D">
        <w:rPr>
          <w:sz w:val="20"/>
        </w:rPr>
        <w:t>Keong</w:t>
      </w:r>
      <w:proofErr w:type="spellEnd"/>
      <w:r w:rsidRPr="00D83D2D">
        <w:rPr>
          <w:sz w:val="20"/>
        </w:rPr>
        <w:t xml:space="preserve">, </w:t>
      </w:r>
      <w:proofErr w:type="spellStart"/>
      <w:r w:rsidRPr="00D83D2D">
        <w:rPr>
          <w:sz w:val="20"/>
        </w:rPr>
        <w:t>Loi</w:t>
      </w:r>
      <w:proofErr w:type="spellEnd"/>
      <w:r w:rsidRPr="00D83D2D">
        <w:rPr>
          <w:sz w:val="20"/>
        </w:rPr>
        <w:t xml:space="preserve"> </w:t>
      </w:r>
      <w:proofErr w:type="spellStart"/>
      <w:r w:rsidRPr="00D83D2D">
        <w:rPr>
          <w:sz w:val="20"/>
        </w:rPr>
        <w:t>Hean</w:t>
      </w:r>
      <w:proofErr w:type="spellEnd"/>
      <w:r w:rsidRPr="00D83D2D">
        <w:rPr>
          <w:sz w:val="20"/>
        </w:rPr>
        <w:t xml:space="preserve"> </w:t>
      </w:r>
      <w:proofErr w:type="spellStart"/>
      <w:r w:rsidRPr="00D83D2D">
        <w:rPr>
          <w:sz w:val="20"/>
        </w:rPr>
        <w:t>Sso</w:t>
      </w:r>
      <w:proofErr w:type="spellEnd"/>
      <w:r w:rsidRPr="00D83D2D">
        <w:rPr>
          <w:sz w:val="20"/>
        </w:rPr>
        <w:t xml:space="preserve"> and </w:t>
      </w:r>
      <w:proofErr w:type="spellStart"/>
      <w:r w:rsidRPr="00D83D2D">
        <w:rPr>
          <w:sz w:val="20"/>
        </w:rPr>
        <w:t>Houng</w:t>
      </w:r>
      <w:proofErr w:type="spellEnd"/>
      <w:r w:rsidRPr="00D83D2D">
        <w:rPr>
          <w:sz w:val="20"/>
        </w:rPr>
        <w:t xml:space="preserve"> </w:t>
      </w:r>
      <w:proofErr w:type="spellStart"/>
      <w:r w:rsidRPr="00D83D2D">
        <w:rPr>
          <w:sz w:val="20"/>
        </w:rPr>
        <w:t>Hai</w:t>
      </w:r>
      <w:proofErr w:type="spellEnd"/>
      <w:r w:rsidRPr="00D83D2D">
        <w:rPr>
          <w:sz w:val="20"/>
        </w:rPr>
        <w:t xml:space="preserve"> Kong (collectively called the “Defendants”)</w:t>
      </w:r>
    </w:p>
    <w:p w:rsidR="00B27BAE" w:rsidRPr="00D83D2D" w:rsidRDefault="00B27BAE" w:rsidP="00B27BAE">
      <w:pPr>
        <w:pStyle w:val="BodyText"/>
        <w:ind w:right="-450" w:hanging="1800"/>
        <w:rPr>
          <w:sz w:val="20"/>
        </w:rPr>
      </w:pPr>
    </w:p>
    <w:tbl>
      <w:tblPr>
        <w:tblW w:w="9590" w:type="dxa"/>
        <w:tblInd w:w="108" w:type="dxa"/>
        <w:tblLook w:val="04A0"/>
      </w:tblPr>
      <w:tblGrid>
        <w:gridCol w:w="9461"/>
        <w:gridCol w:w="129"/>
      </w:tblGrid>
      <w:tr w:rsidR="00551120" w:rsidRPr="002D24B8" w:rsidTr="00ED63F7">
        <w:trPr>
          <w:trHeight w:val="288"/>
        </w:trPr>
        <w:tc>
          <w:tcPr>
            <w:tcW w:w="9590" w:type="dxa"/>
            <w:gridSpan w:val="2"/>
            <w:vMerge w:val="restart"/>
            <w:tcBorders>
              <w:top w:val="nil"/>
              <w:left w:val="nil"/>
              <w:bottom w:val="nil"/>
              <w:right w:val="nil"/>
            </w:tcBorders>
            <w:shd w:val="clear" w:color="auto" w:fill="auto"/>
            <w:hideMark/>
          </w:tcPr>
          <w:p w:rsidR="00551120" w:rsidRPr="002D24B8" w:rsidRDefault="00551120" w:rsidP="00ED63F7">
            <w:pPr>
              <w:ind w:left="972"/>
              <w:jc w:val="both"/>
            </w:pPr>
            <w:r w:rsidRPr="002D24B8">
              <w:t xml:space="preserve">The Plaintiffs had on 9 February 1993 obtained an ex-parte injunction to restrain the Defendants from </w:t>
            </w:r>
            <w:r w:rsidR="00ED63F7">
              <w:t>p</w:t>
            </w:r>
            <w:r w:rsidRPr="002D24B8">
              <w:t>rinting, circulating, distributing or publishing in any manner any allegation of impropriety or irregularity or illegality of whatever nature against the Plaintiffs or any of their respective subsidiaries or affiliates.</w:t>
            </w:r>
          </w:p>
        </w:tc>
      </w:tr>
      <w:tr w:rsidR="00551120" w:rsidRPr="002D24B8" w:rsidTr="00ED63F7">
        <w:trPr>
          <w:trHeight w:val="288"/>
        </w:trPr>
        <w:tc>
          <w:tcPr>
            <w:tcW w:w="9590" w:type="dxa"/>
            <w:gridSpan w:val="2"/>
            <w:vMerge/>
            <w:tcBorders>
              <w:top w:val="nil"/>
              <w:left w:val="nil"/>
              <w:bottom w:val="nil"/>
              <w:right w:val="nil"/>
            </w:tcBorders>
            <w:vAlign w:val="center"/>
            <w:hideMark/>
          </w:tcPr>
          <w:p w:rsidR="00551120" w:rsidRPr="002D24B8" w:rsidRDefault="00551120" w:rsidP="004A3126">
            <w:pPr>
              <w:ind w:left="972"/>
              <w:jc w:val="both"/>
            </w:pPr>
          </w:p>
        </w:tc>
      </w:tr>
      <w:tr w:rsidR="00551120" w:rsidRPr="002D24B8" w:rsidTr="00ED63F7">
        <w:trPr>
          <w:trHeight w:val="288"/>
        </w:trPr>
        <w:tc>
          <w:tcPr>
            <w:tcW w:w="9590" w:type="dxa"/>
            <w:gridSpan w:val="2"/>
            <w:vMerge/>
            <w:tcBorders>
              <w:top w:val="nil"/>
              <w:left w:val="nil"/>
              <w:bottom w:val="nil"/>
              <w:right w:val="nil"/>
            </w:tcBorders>
            <w:vAlign w:val="center"/>
            <w:hideMark/>
          </w:tcPr>
          <w:p w:rsidR="00551120" w:rsidRPr="002D24B8" w:rsidRDefault="00551120" w:rsidP="00D041B3">
            <w:pPr>
              <w:ind w:right="-147"/>
            </w:pPr>
          </w:p>
        </w:tc>
      </w:tr>
      <w:tr w:rsidR="00551120" w:rsidRPr="002D24B8" w:rsidTr="00ED63F7">
        <w:trPr>
          <w:trHeight w:val="288"/>
        </w:trPr>
        <w:tc>
          <w:tcPr>
            <w:tcW w:w="9590" w:type="dxa"/>
            <w:gridSpan w:val="2"/>
            <w:vMerge/>
            <w:tcBorders>
              <w:top w:val="nil"/>
              <w:left w:val="nil"/>
              <w:bottom w:val="nil"/>
              <w:right w:val="nil"/>
            </w:tcBorders>
            <w:vAlign w:val="center"/>
            <w:hideMark/>
          </w:tcPr>
          <w:p w:rsidR="00551120" w:rsidRPr="002D24B8" w:rsidRDefault="00551120" w:rsidP="00D041B3">
            <w:pPr>
              <w:ind w:right="-147"/>
            </w:pPr>
          </w:p>
        </w:tc>
      </w:tr>
      <w:tr w:rsidR="00551120" w:rsidRPr="002D24B8" w:rsidTr="00ED63F7">
        <w:trPr>
          <w:trHeight w:val="288"/>
        </w:trPr>
        <w:tc>
          <w:tcPr>
            <w:tcW w:w="9590" w:type="dxa"/>
            <w:gridSpan w:val="2"/>
            <w:vMerge w:val="restart"/>
            <w:tcBorders>
              <w:top w:val="nil"/>
              <w:left w:val="nil"/>
              <w:bottom w:val="nil"/>
              <w:right w:val="nil"/>
            </w:tcBorders>
            <w:shd w:val="clear" w:color="auto" w:fill="auto"/>
            <w:hideMark/>
          </w:tcPr>
          <w:p w:rsidR="00551120" w:rsidRDefault="00551120" w:rsidP="00ED63F7">
            <w:pPr>
              <w:ind w:left="972"/>
              <w:jc w:val="both"/>
            </w:pPr>
            <w:r w:rsidRPr="002D24B8">
              <w:t xml:space="preserve">Wee Choo </w:t>
            </w:r>
            <w:proofErr w:type="spellStart"/>
            <w:r w:rsidRPr="002D24B8">
              <w:t>Keong</w:t>
            </w:r>
            <w:proofErr w:type="spellEnd"/>
            <w:r w:rsidRPr="002D24B8">
              <w:t xml:space="preserve"> and </w:t>
            </w:r>
            <w:proofErr w:type="spellStart"/>
            <w:r w:rsidRPr="002D24B8">
              <w:t>Houng</w:t>
            </w:r>
            <w:proofErr w:type="spellEnd"/>
            <w:r w:rsidRPr="002D24B8">
              <w:t xml:space="preserve"> </w:t>
            </w:r>
            <w:proofErr w:type="spellStart"/>
            <w:r w:rsidRPr="002D24B8">
              <w:t>Hai</w:t>
            </w:r>
            <w:proofErr w:type="spellEnd"/>
            <w:r w:rsidRPr="002D24B8">
              <w:t xml:space="preserve"> Kong (“Appellants”) had applied to set aside the ex-parte injunction which was refused by the High Court in 1996. However the Appellants’ appeal against the court order was allowed by the Court of Appeal in April 2007.</w:t>
            </w:r>
          </w:p>
          <w:p w:rsidR="00ED63F7" w:rsidRDefault="00ED63F7" w:rsidP="00ED63F7">
            <w:pPr>
              <w:ind w:left="972"/>
              <w:jc w:val="both"/>
            </w:pPr>
          </w:p>
          <w:p w:rsidR="00ED63F7" w:rsidRDefault="00ED63F7" w:rsidP="00ED63F7">
            <w:pPr>
              <w:ind w:left="972"/>
              <w:jc w:val="both"/>
            </w:pPr>
            <w:r w:rsidRPr="00ED63F7">
              <w:t xml:space="preserve">Wee Choo </w:t>
            </w:r>
            <w:proofErr w:type="spellStart"/>
            <w:r w:rsidRPr="00ED63F7">
              <w:t>Keong’s</w:t>
            </w:r>
            <w:proofErr w:type="spellEnd"/>
            <w:r w:rsidRPr="00ED63F7">
              <w:t xml:space="preserve"> application to the High Court for legal and incidental costs was dismissed on </w:t>
            </w:r>
            <w:r>
              <w:t xml:space="preserve">30 </w:t>
            </w:r>
            <w:r w:rsidRPr="00ED63F7">
              <w:t>November 2007. His application for assessment of damages amounting to approximately RM40 million was fixed for hearing several times but were postponed. The Court has fixed 27 July 2011 for trial on the assessment of damages.</w:t>
            </w:r>
          </w:p>
          <w:p w:rsidR="00ED63F7" w:rsidRPr="002D24B8" w:rsidRDefault="00ED63F7" w:rsidP="00ED63F7">
            <w:pPr>
              <w:ind w:left="972"/>
              <w:jc w:val="both"/>
            </w:pPr>
            <w:r>
              <w:t xml:space="preserve"> </w:t>
            </w:r>
          </w:p>
        </w:tc>
      </w:tr>
      <w:tr w:rsidR="00551120" w:rsidRPr="002D24B8" w:rsidTr="00ED63F7">
        <w:trPr>
          <w:trHeight w:val="288"/>
        </w:trPr>
        <w:tc>
          <w:tcPr>
            <w:tcW w:w="9590" w:type="dxa"/>
            <w:gridSpan w:val="2"/>
            <w:vMerge/>
            <w:tcBorders>
              <w:top w:val="nil"/>
              <w:left w:val="nil"/>
              <w:bottom w:val="nil"/>
              <w:right w:val="nil"/>
            </w:tcBorders>
            <w:vAlign w:val="center"/>
            <w:hideMark/>
          </w:tcPr>
          <w:p w:rsidR="00551120" w:rsidRPr="002D24B8" w:rsidRDefault="00551120" w:rsidP="004A3126">
            <w:pPr>
              <w:ind w:right="-147"/>
              <w:jc w:val="both"/>
            </w:pPr>
          </w:p>
        </w:tc>
      </w:tr>
      <w:tr w:rsidR="00551120" w:rsidRPr="002D24B8" w:rsidTr="00ED63F7">
        <w:trPr>
          <w:trHeight w:val="288"/>
        </w:trPr>
        <w:tc>
          <w:tcPr>
            <w:tcW w:w="9590" w:type="dxa"/>
            <w:gridSpan w:val="2"/>
            <w:vMerge/>
            <w:tcBorders>
              <w:top w:val="nil"/>
              <w:left w:val="nil"/>
              <w:bottom w:val="nil"/>
              <w:right w:val="nil"/>
            </w:tcBorders>
            <w:vAlign w:val="center"/>
            <w:hideMark/>
          </w:tcPr>
          <w:p w:rsidR="00551120" w:rsidRPr="002D24B8" w:rsidRDefault="00551120" w:rsidP="004A3126">
            <w:pPr>
              <w:ind w:right="-147"/>
              <w:jc w:val="both"/>
            </w:pPr>
          </w:p>
        </w:tc>
      </w:tr>
      <w:tr w:rsidR="00551120" w:rsidRPr="002D24B8" w:rsidTr="00ED63F7">
        <w:trPr>
          <w:trHeight w:val="288"/>
        </w:trPr>
        <w:tc>
          <w:tcPr>
            <w:tcW w:w="9590" w:type="dxa"/>
            <w:gridSpan w:val="2"/>
            <w:vMerge/>
            <w:tcBorders>
              <w:top w:val="nil"/>
              <w:left w:val="nil"/>
              <w:bottom w:val="nil"/>
              <w:right w:val="nil"/>
            </w:tcBorders>
            <w:vAlign w:val="center"/>
            <w:hideMark/>
          </w:tcPr>
          <w:p w:rsidR="00551120" w:rsidRPr="002D24B8" w:rsidRDefault="00551120" w:rsidP="004A3126">
            <w:pPr>
              <w:ind w:right="-147"/>
              <w:jc w:val="both"/>
            </w:pPr>
          </w:p>
        </w:tc>
      </w:tr>
      <w:tr w:rsidR="00551120" w:rsidRPr="002D24B8" w:rsidTr="00ED63F7">
        <w:trPr>
          <w:trHeight w:val="288"/>
        </w:trPr>
        <w:tc>
          <w:tcPr>
            <w:tcW w:w="9590" w:type="dxa"/>
            <w:gridSpan w:val="2"/>
            <w:vMerge/>
            <w:tcBorders>
              <w:top w:val="nil"/>
              <w:left w:val="nil"/>
              <w:bottom w:val="nil"/>
              <w:right w:val="nil"/>
            </w:tcBorders>
            <w:vAlign w:val="center"/>
            <w:hideMark/>
          </w:tcPr>
          <w:p w:rsidR="00551120" w:rsidRPr="002D24B8" w:rsidRDefault="00551120" w:rsidP="004A3126">
            <w:pPr>
              <w:ind w:right="-147"/>
              <w:jc w:val="both"/>
            </w:pPr>
          </w:p>
        </w:tc>
      </w:tr>
      <w:tr w:rsidR="00551120" w:rsidRPr="002D24B8" w:rsidTr="00ED63F7">
        <w:trPr>
          <w:trHeight w:val="288"/>
        </w:trPr>
        <w:tc>
          <w:tcPr>
            <w:tcW w:w="9590" w:type="dxa"/>
            <w:gridSpan w:val="2"/>
            <w:vMerge/>
            <w:tcBorders>
              <w:top w:val="nil"/>
              <w:left w:val="nil"/>
              <w:bottom w:val="nil"/>
              <w:right w:val="nil"/>
            </w:tcBorders>
            <w:vAlign w:val="center"/>
            <w:hideMark/>
          </w:tcPr>
          <w:p w:rsidR="00551120" w:rsidRPr="002D24B8" w:rsidRDefault="00551120" w:rsidP="004A3126">
            <w:pPr>
              <w:ind w:right="-147"/>
              <w:jc w:val="both"/>
            </w:pPr>
          </w:p>
        </w:tc>
      </w:tr>
      <w:tr w:rsidR="00551120" w:rsidRPr="002D24B8" w:rsidTr="00ED63F7">
        <w:trPr>
          <w:gridAfter w:val="1"/>
          <w:wAfter w:w="129" w:type="dxa"/>
          <w:trHeight w:val="288"/>
        </w:trPr>
        <w:tc>
          <w:tcPr>
            <w:tcW w:w="9461" w:type="dxa"/>
            <w:vMerge w:val="restart"/>
            <w:tcBorders>
              <w:top w:val="nil"/>
              <w:left w:val="nil"/>
              <w:bottom w:val="nil"/>
              <w:right w:val="nil"/>
            </w:tcBorders>
            <w:shd w:val="clear" w:color="auto" w:fill="auto"/>
            <w:hideMark/>
          </w:tcPr>
          <w:p w:rsidR="00551120" w:rsidRDefault="00551120" w:rsidP="00D041B3">
            <w:pPr>
              <w:ind w:left="972" w:right="-147"/>
            </w:pPr>
            <w:r w:rsidRPr="002D24B8">
              <w:t xml:space="preserve">Whereas </w:t>
            </w:r>
            <w:proofErr w:type="spellStart"/>
            <w:r w:rsidRPr="002D24B8">
              <w:t>Houng</w:t>
            </w:r>
            <w:proofErr w:type="spellEnd"/>
            <w:r w:rsidRPr="002D24B8">
              <w:t xml:space="preserve"> </w:t>
            </w:r>
            <w:proofErr w:type="spellStart"/>
            <w:r w:rsidRPr="002D24B8">
              <w:t>Hai</w:t>
            </w:r>
            <w:proofErr w:type="spellEnd"/>
            <w:r w:rsidRPr="002D24B8">
              <w:t xml:space="preserve"> Kong's application on the inquiry of damages was heard on 5th April 2011 wherein the court fixed the matter for further hearing on 22 June 2011.</w:t>
            </w:r>
          </w:p>
          <w:p w:rsidR="00473ECD" w:rsidRDefault="00473ECD" w:rsidP="00473ECD">
            <w:pPr>
              <w:ind w:left="972" w:right="-147"/>
            </w:pPr>
          </w:p>
          <w:p w:rsidR="00473ECD" w:rsidRDefault="00473ECD" w:rsidP="00473ECD">
            <w:pPr>
              <w:ind w:left="972" w:right="-147"/>
            </w:pPr>
            <w:r>
              <w:t>It is not possible to ascertain the quantum of damages payable by the Plaintiffs at this juncture and the directors are of the view that the Company’s liability, if any, is not material and accordingly the Company had not provided for it in its book.</w:t>
            </w:r>
          </w:p>
          <w:p w:rsidR="00473ECD" w:rsidRPr="002D24B8" w:rsidRDefault="00473ECD" w:rsidP="00D041B3">
            <w:pPr>
              <w:ind w:left="972" w:right="-147"/>
            </w:pPr>
          </w:p>
        </w:tc>
      </w:tr>
      <w:tr w:rsidR="00551120" w:rsidRPr="002D24B8" w:rsidTr="00ED63F7">
        <w:trPr>
          <w:gridAfter w:val="1"/>
          <w:wAfter w:w="129" w:type="dxa"/>
          <w:trHeight w:val="288"/>
        </w:trPr>
        <w:tc>
          <w:tcPr>
            <w:tcW w:w="9461" w:type="dxa"/>
            <w:vMerge/>
            <w:tcBorders>
              <w:top w:val="nil"/>
              <w:left w:val="nil"/>
              <w:bottom w:val="nil"/>
              <w:right w:val="nil"/>
            </w:tcBorders>
            <w:vAlign w:val="center"/>
            <w:hideMark/>
          </w:tcPr>
          <w:p w:rsidR="00551120" w:rsidRPr="002D24B8" w:rsidRDefault="00551120" w:rsidP="00D041B3">
            <w:pPr>
              <w:ind w:left="972" w:right="-147"/>
            </w:pPr>
          </w:p>
        </w:tc>
      </w:tr>
    </w:tbl>
    <w:p w:rsidR="00236B1D" w:rsidRDefault="00236B1D" w:rsidP="00551120">
      <w:pPr>
        <w:pStyle w:val="BodyText"/>
        <w:ind w:left="1080" w:right="-180" w:hanging="1080"/>
      </w:pPr>
    </w:p>
    <w:p w:rsidR="00236B1D" w:rsidRDefault="00236B1D" w:rsidP="00551120">
      <w:pPr>
        <w:pStyle w:val="BodyText"/>
        <w:ind w:left="1080" w:right="-180" w:hanging="1080"/>
      </w:pPr>
    </w:p>
    <w:p w:rsidR="00236B1D" w:rsidRDefault="00236B1D" w:rsidP="00551120">
      <w:pPr>
        <w:pStyle w:val="BodyText"/>
        <w:ind w:left="1080" w:right="-180" w:hanging="1080"/>
      </w:pPr>
    </w:p>
    <w:p w:rsidR="00236B1D" w:rsidRDefault="00236B1D" w:rsidP="00236B1D">
      <w:pPr>
        <w:pStyle w:val="BodyText"/>
        <w:ind w:left="1080" w:right="-90" w:hanging="360"/>
        <w:outlineLvl w:val="0"/>
        <w:rPr>
          <w:sz w:val="20"/>
        </w:rPr>
      </w:pPr>
      <w:r>
        <w:rPr>
          <w:sz w:val="20"/>
        </w:rPr>
        <w:t>c)</w:t>
      </w:r>
      <w:r>
        <w:rPr>
          <w:sz w:val="20"/>
        </w:rPr>
        <w:tab/>
      </w:r>
      <w:r w:rsidRPr="002D24B8">
        <w:rPr>
          <w:sz w:val="20"/>
        </w:rPr>
        <w:t xml:space="preserve">MBf Holdings </w:t>
      </w:r>
      <w:proofErr w:type="spellStart"/>
      <w:r w:rsidRPr="002D24B8">
        <w:rPr>
          <w:sz w:val="20"/>
        </w:rPr>
        <w:t>Berhad</w:t>
      </w:r>
      <w:proofErr w:type="spellEnd"/>
      <w:r w:rsidRPr="002D24B8">
        <w:rPr>
          <w:sz w:val="20"/>
        </w:rPr>
        <w:t xml:space="preserve"> (“</w:t>
      </w:r>
      <w:proofErr w:type="spellStart"/>
      <w:r w:rsidRPr="002D24B8">
        <w:rPr>
          <w:sz w:val="20"/>
        </w:rPr>
        <w:t>MBfH</w:t>
      </w:r>
      <w:proofErr w:type="spellEnd"/>
      <w:r w:rsidRPr="002D24B8">
        <w:rPr>
          <w:sz w:val="20"/>
        </w:rPr>
        <w:t xml:space="preserve">”) &amp; MBf Education Group </w:t>
      </w:r>
      <w:proofErr w:type="spellStart"/>
      <w:r w:rsidRPr="002D24B8">
        <w:rPr>
          <w:sz w:val="20"/>
        </w:rPr>
        <w:t>Sdn</w:t>
      </w:r>
      <w:proofErr w:type="spellEnd"/>
      <w:r w:rsidRPr="002D24B8">
        <w:rPr>
          <w:sz w:val="20"/>
        </w:rPr>
        <w:t xml:space="preserve"> </w:t>
      </w:r>
      <w:proofErr w:type="spellStart"/>
      <w:r w:rsidRPr="002D24B8">
        <w:rPr>
          <w:sz w:val="20"/>
        </w:rPr>
        <w:t>Bhd</w:t>
      </w:r>
      <w:proofErr w:type="spellEnd"/>
      <w:r w:rsidRPr="002D24B8">
        <w:rPr>
          <w:sz w:val="20"/>
        </w:rPr>
        <w:t xml:space="preserve"> (“MEG”) [collectively called “the Plaintiffs”] Vs </w:t>
      </w:r>
      <w:proofErr w:type="spellStart"/>
      <w:r w:rsidRPr="002D24B8">
        <w:rPr>
          <w:sz w:val="20"/>
        </w:rPr>
        <w:t>Dato</w:t>
      </w:r>
      <w:proofErr w:type="spellEnd"/>
      <w:r w:rsidRPr="002D24B8">
        <w:rPr>
          <w:sz w:val="20"/>
        </w:rPr>
        <w:t xml:space="preserve"> Loy </w:t>
      </w:r>
      <w:proofErr w:type="spellStart"/>
      <w:r w:rsidRPr="002D24B8">
        <w:rPr>
          <w:sz w:val="20"/>
        </w:rPr>
        <w:t>Teik</w:t>
      </w:r>
      <w:proofErr w:type="spellEnd"/>
      <w:r w:rsidRPr="002D24B8">
        <w:rPr>
          <w:sz w:val="20"/>
        </w:rPr>
        <w:t xml:space="preserve"> </w:t>
      </w:r>
      <w:proofErr w:type="spellStart"/>
      <w:r w:rsidRPr="002D24B8">
        <w:rPr>
          <w:sz w:val="20"/>
        </w:rPr>
        <w:t>Ngan</w:t>
      </w:r>
      <w:proofErr w:type="spellEnd"/>
      <w:r w:rsidRPr="002D24B8">
        <w:rPr>
          <w:sz w:val="20"/>
        </w:rPr>
        <w:t xml:space="preserve">, </w:t>
      </w:r>
      <w:proofErr w:type="spellStart"/>
      <w:r w:rsidRPr="002D24B8">
        <w:rPr>
          <w:sz w:val="20"/>
        </w:rPr>
        <w:t>Datin</w:t>
      </w:r>
      <w:proofErr w:type="spellEnd"/>
      <w:r w:rsidRPr="002D24B8">
        <w:rPr>
          <w:sz w:val="20"/>
        </w:rPr>
        <w:t xml:space="preserve"> Chong </w:t>
      </w:r>
      <w:proofErr w:type="spellStart"/>
      <w:r w:rsidRPr="002D24B8">
        <w:rPr>
          <w:sz w:val="20"/>
        </w:rPr>
        <w:t>Kwei</w:t>
      </w:r>
      <w:proofErr w:type="spellEnd"/>
      <w:r w:rsidRPr="002D24B8">
        <w:rPr>
          <w:sz w:val="20"/>
        </w:rPr>
        <w:t xml:space="preserve"> </w:t>
      </w:r>
      <w:proofErr w:type="spellStart"/>
      <w:r w:rsidRPr="002D24B8">
        <w:rPr>
          <w:sz w:val="20"/>
        </w:rPr>
        <w:t>Kee</w:t>
      </w:r>
      <w:proofErr w:type="spellEnd"/>
      <w:r w:rsidRPr="002D24B8">
        <w:rPr>
          <w:sz w:val="20"/>
        </w:rPr>
        <w:t xml:space="preserve">, </w:t>
      </w:r>
      <w:proofErr w:type="spellStart"/>
      <w:r w:rsidRPr="002D24B8">
        <w:rPr>
          <w:sz w:val="20"/>
        </w:rPr>
        <w:t>Puan</w:t>
      </w:r>
      <w:proofErr w:type="spellEnd"/>
      <w:r w:rsidRPr="002D24B8">
        <w:rPr>
          <w:sz w:val="20"/>
        </w:rPr>
        <w:t xml:space="preserve"> Sri </w:t>
      </w:r>
      <w:proofErr w:type="spellStart"/>
      <w:r w:rsidRPr="002D24B8">
        <w:rPr>
          <w:sz w:val="20"/>
        </w:rPr>
        <w:t>Datin</w:t>
      </w:r>
      <w:proofErr w:type="spellEnd"/>
      <w:r w:rsidRPr="002D24B8">
        <w:rPr>
          <w:sz w:val="20"/>
        </w:rPr>
        <w:t xml:space="preserve"> Ling </w:t>
      </w:r>
      <w:proofErr w:type="spellStart"/>
      <w:r w:rsidRPr="002D24B8">
        <w:rPr>
          <w:sz w:val="20"/>
        </w:rPr>
        <w:t>Mah</w:t>
      </w:r>
      <w:proofErr w:type="spellEnd"/>
      <w:r w:rsidRPr="002D24B8">
        <w:rPr>
          <w:sz w:val="20"/>
        </w:rPr>
        <w:t xml:space="preserve"> Lee, Tan Sri </w:t>
      </w:r>
      <w:proofErr w:type="spellStart"/>
      <w:r w:rsidRPr="002D24B8">
        <w:rPr>
          <w:sz w:val="20"/>
        </w:rPr>
        <w:t>Dato</w:t>
      </w:r>
      <w:proofErr w:type="spellEnd"/>
      <w:r w:rsidRPr="002D24B8">
        <w:rPr>
          <w:sz w:val="20"/>
        </w:rPr>
        <w:t xml:space="preserve"> Lim Cheng </w:t>
      </w:r>
      <w:proofErr w:type="spellStart"/>
      <w:r w:rsidRPr="002D24B8">
        <w:rPr>
          <w:sz w:val="20"/>
        </w:rPr>
        <w:t>Pow</w:t>
      </w:r>
      <w:proofErr w:type="spellEnd"/>
      <w:r w:rsidRPr="002D24B8">
        <w:rPr>
          <w:sz w:val="20"/>
        </w:rPr>
        <w:t xml:space="preserve">, Taylor’s Education </w:t>
      </w:r>
      <w:proofErr w:type="spellStart"/>
      <w:r w:rsidRPr="002D24B8">
        <w:rPr>
          <w:sz w:val="20"/>
        </w:rPr>
        <w:t>Bhd</w:t>
      </w:r>
      <w:proofErr w:type="spellEnd"/>
      <w:r w:rsidRPr="002D24B8">
        <w:rPr>
          <w:sz w:val="20"/>
        </w:rPr>
        <w:t xml:space="preserve">, Taylor’s College </w:t>
      </w:r>
      <w:proofErr w:type="spellStart"/>
      <w:r w:rsidRPr="002D24B8">
        <w:rPr>
          <w:sz w:val="20"/>
        </w:rPr>
        <w:t>Sdn</w:t>
      </w:r>
      <w:proofErr w:type="spellEnd"/>
      <w:r w:rsidRPr="002D24B8">
        <w:rPr>
          <w:sz w:val="20"/>
        </w:rPr>
        <w:t xml:space="preserve"> </w:t>
      </w:r>
      <w:proofErr w:type="spellStart"/>
      <w:r w:rsidRPr="002D24B8">
        <w:rPr>
          <w:sz w:val="20"/>
        </w:rPr>
        <w:t>Bhd</w:t>
      </w:r>
      <w:proofErr w:type="spellEnd"/>
      <w:r w:rsidRPr="002D24B8">
        <w:rPr>
          <w:sz w:val="20"/>
        </w:rPr>
        <w:t xml:space="preserve">, </w:t>
      </w:r>
      <w:proofErr w:type="spellStart"/>
      <w:r w:rsidRPr="002D24B8">
        <w:rPr>
          <w:sz w:val="20"/>
        </w:rPr>
        <w:t>Educrest</w:t>
      </w:r>
      <w:proofErr w:type="spellEnd"/>
      <w:r w:rsidRPr="002D24B8">
        <w:rPr>
          <w:sz w:val="20"/>
        </w:rPr>
        <w:t xml:space="preserve"> </w:t>
      </w:r>
      <w:proofErr w:type="spellStart"/>
      <w:r w:rsidRPr="002D24B8">
        <w:rPr>
          <w:sz w:val="20"/>
        </w:rPr>
        <w:t>Sdn</w:t>
      </w:r>
      <w:proofErr w:type="spellEnd"/>
      <w:r w:rsidRPr="002D24B8">
        <w:rPr>
          <w:sz w:val="20"/>
        </w:rPr>
        <w:t xml:space="preserve"> </w:t>
      </w:r>
      <w:proofErr w:type="spellStart"/>
      <w:r w:rsidRPr="002D24B8">
        <w:rPr>
          <w:sz w:val="20"/>
        </w:rPr>
        <w:t>Bhd</w:t>
      </w:r>
      <w:proofErr w:type="spellEnd"/>
      <w:r w:rsidRPr="002D24B8">
        <w:rPr>
          <w:sz w:val="20"/>
        </w:rPr>
        <w:t xml:space="preserve">, Lim </w:t>
      </w:r>
      <w:proofErr w:type="spellStart"/>
      <w:r w:rsidRPr="002D24B8">
        <w:rPr>
          <w:sz w:val="20"/>
        </w:rPr>
        <w:t>Tian</w:t>
      </w:r>
      <w:proofErr w:type="spellEnd"/>
      <w:r w:rsidRPr="002D24B8">
        <w:rPr>
          <w:sz w:val="20"/>
        </w:rPr>
        <w:t xml:space="preserve"> </w:t>
      </w:r>
      <w:proofErr w:type="spellStart"/>
      <w:r w:rsidRPr="002D24B8">
        <w:rPr>
          <w:sz w:val="20"/>
        </w:rPr>
        <w:t>Huat</w:t>
      </w:r>
      <w:proofErr w:type="spellEnd"/>
      <w:r w:rsidRPr="002D24B8">
        <w:rPr>
          <w:sz w:val="20"/>
        </w:rPr>
        <w:t xml:space="preserve"> &amp; Chew Cheng Leong [collectively called “the Defendants”]</w:t>
      </w:r>
    </w:p>
    <w:p w:rsidR="00236B1D" w:rsidRDefault="00236B1D" w:rsidP="00236B1D">
      <w:pPr>
        <w:pStyle w:val="BodyText"/>
        <w:ind w:left="1080" w:right="-90" w:hanging="360"/>
        <w:outlineLvl w:val="0"/>
        <w:rPr>
          <w:sz w:val="20"/>
        </w:rPr>
      </w:pPr>
    </w:p>
    <w:p w:rsidR="00236B1D" w:rsidRDefault="00236B1D" w:rsidP="00236B1D">
      <w:pPr>
        <w:pStyle w:val="BodyText"/>
        <w:ind w:left="1080" w:right="-90" w:hanging="360"/>
        <w:outlineLvl w:val="0"/>
        <w:rPr>
          <w:sz w:val="20"/>
        </w:rPr>
      </w:pPr>
      <w:r>
        <w:rPr>
          <w:sz w:val="20"/>
        </w:rPr>
        <w:tab/>
      </w:r>
      <w:r w:rsidRPr="002D24B8">
        <w:rPr>
          <w:sz w:val="20"/>
        </w:rPr>
        <w:t xml:space="preserve">The claim is to recover the Plaintiffs’ assets which were purportedly disposed wrongfully by the directors of </w:t>
      </w:r>
      <w:proofErr w:type="spellStart"/>
      <w:r w:rsidRPr="002D24B8">
        <w:rPr>
          <w:sz w:val="20"/>
        </w:rPr>
        <w:t>MBfH</w:t>
      </w:r>
      <w:proofErr w:type="spellEnd"/>
      <w:r w:rsidRPr="002D24B8">
        <w:rPr>
          <w:sz w:val="20"/>
        </w:rPr>
        <w:t xml:space="preserve"> &amp; MEG at the material time. The assets in question are </w:t>
      </w:r>
      <w:proofErr w:type="spellStart"/>
      <w:r w:rsidRPr="002D24B8">
        <w:rPr>
          <w:sz w:val="20"/>
        </w:rPr>
        <w:t>MBfH’s</w:t>
      </w:r>
      <w:proofErr w:type="spellEnd"/>
      <w:r w:rsidRPr="002D24B8">
        <w:rPr>
          <w:sz w:val="20"/>
        </w:rPr>
        <w:t xml:space="preserve"> 66.67% equity interest in MBf Taylors </w:t>
      </w:r>
      <w:proofErr w:type="spellStart"/>
      <w:r w:rsidRPr="002D24B8">
        <w:rPr>
          <w:sz w:val="20"/>
        </w:rPr>
        <w:t>Sdn</w:t>
      </w:r>
      <w:proofErr w:type="spellEnd"/>
      <w:r w:rsidRPr="002D24B8">
        <w:rPr>
          <w:sz w:val="20"/>
        </w:rPr>
        <w:t xml:space="preserve"> </w:t>
      </w:r>
      <w:proofErr w:type="spellStart"/>
      <w:r w:rsidRPr="002D24B8">
        <w:rPr>
          <w:sz w:val="20"/>
        </w:rPr>
        <w:t>Bhd</w:t>
      </w:r>
      <w:proofErr w:type="spellEnd"/>
      <w:r w:rsidRPr="002D24B8">
        <w:rPr>
          <w:sz w:val="20"/>
        </w:rPr>
        <w:t xml:space="preserve"> [renamed as Taylor’s Education </w:t>
      </w:r>
      <w:proofErr w:type="spellStart"/>
      <w:r w:rsidRPr="002D24B8">
        <w:rPr>
          <w:sz w:val="20"/>
        </w:rPr>
        <w:t>Sdn</w:t>
      </w:r>
      <w:proofErr w:type="spellEnd"/>
      <w:r w:rsidRPr="002D24B8">
        <w:rPr>
          <w:sz w:val="20"/>
        </w:rPr>
        <w:t xml:space="preserve"> </w:t>
      </w:r>
      <w:proofErr w:type="spellStart"/>
      <w:r w:rsidRPr="002D24B8">
        <w:rPr>
          <w:sz w:val="20"/>
        </w:rPr>
        <w:t>Bhd</w:t>
      </w:r>
      <w:proofErr w:type="spellEnd"/>
      <w:r w:rsidRPr="002D24B8">
        <w:rPr>
          <w:sz w:val="20"/>
        </w:rPr>
        <w:t xml:space="preserve"> &amp; later as Taylor’s Education </w:t>
      </w:r>
      <w:proofErr w:type="spellStart"/>
      <w:r w:rsidRPr="002D24B8">
        <w:rPr>
          <w:sz w:val="20"/>
        </w:rPr>
        <w:t>Bhd</w:t>
      </w:r>
      <w:proofErr w:type="spellEnd"/>
      <w:r w:rsidRPr="002D24B8">
        <w:rPr>
          <w:sz w:val="20"/>
        </w:rPr>
        <w:t xml:space="preserve">] &amp; a parcel of land in </w:t>
      </w:r>
      <w:proofErr w:type="spellStart"/>
      <w:r w:rsidRPr="002D24B8">
        <w:rPr>
          <w:sz w:val="20"/>
        </w:rPr>
        <w:t>Subang</w:t>
      </w:r>
      <w:proofErr w:type="spellEnd"/>
      <w:r w:rsidRPr="002D24B8">
        <w:rPr>
          <w:sz w:val="20"/>
        </w:rPr>
        <w:t xml:space="preserve"> on which Taylor’s College was constructed &amp; are presently registered under companies owned and/or control by the Loy Family.</w:t>
      </w:r>
    </w:p>
    <w:p w:rsidR="00236B1D" w:rsidRDefault="00236B1D" w:rsidP="00236B1D">
      <w:pPr>
        <w:pStyle w:val="BodyText"/>
        <w:ind w:left="1080" w:right="-90" w:hanging="360"/>
        <w:outlineLvl w:val="0"/>
        <w:rPr>
          <w:sz w:val="20"/>
        </w:rPr>
      </w:pPr>
    </w:p>
    <w:p w:rsidR="00236B1D" w:rsidRDefault="00236B1D" w:rsidP="00236B1D">
      <w:pPr>
        <w:pStyle w:val="BodyText"/>
        <w:ind w:left="1080" w:right="-90" w:hanging="360"/>
        <w:outlineLvl w:val="0"/>
        <w:rPr>
          <w:sz w:val="20"/>
        </w:rPr>
      </w:pPr>
      <w:r>
        <w:rPr>
          <w:sz w:val="20"/>
        </w:rPr>
        <w:tab/>
      </w:r>
      <w:r w:rsidRPr="002D24B8">
        <w:rPr>
          <w:sz w:val="20"/>
        </w:rPr>
        <w:t>The Court has fixed the action for further case management on 26 May 2011 and the trial on 22 to 25 August 2011.</w:t>
      </w:r>
    </w:p>
    <w:p w:rsidR="00236B1D" w:rsidRDefault="00236B1D" w:rsidP="00236B1D">
      <w:pPr>
        <w:pStyle w:val="BodyText"/>
        <w:ind w:left="1080" w:right="-90" w:hanging="360"/>
        <w:outlineLvl w:val="0"/>
        <w:rPr>
          <w:sz w:val="20"/>
        </w:rPr>
      </w:pPr>
    </w:p>
    <w:p w:rsidR="00236B1D" w:rsidRPr="00D83D2D" w:rsidRDefault="00236B1D" w:rsidP="00236B1D">
      <w:pPr>
        <w:pStyle w:val="BodyText"/>
        <w:ind w:left="1080" w:right="-90" w:hanging="360"/>
        <w:outlineLvl w:val="0"/>
        <w:rPr>
          <w:sz w:val="20"/>
        </w:rPr>
      </w:pPr>
      <w:r>
        <w:rPr>
          <w:sz w:val="20"/>
        </w:rPr>
        <w:tab/>
      </w:r>
      <w:r w:rsidRPr="002D24B8">
        <w:rPr>
          <w:sz w:val="20"/>
        </w:rPr>
        <w:t>The Company is unable to quantify the above claims at this juncture and the Board believes to the best of its knowledge that if the Plaintiffs succeed in its claim, it may have a material impact on the Group’s financials.</w:t>
      </w:r>
    </w:p>
    <w:p w:rsidR="00386BF2" w:rsidRDefault="00386BF2" w:rsidP="002C01D9">
      <w:pPr>
        <w:pStyle w:val="BodyText"/>
        <w:ind w:left="1080" w:right="-180" w:hanging="1080"/>
      </w:pPr>
    </w:p>
    <w:p w:rsidR="001F31CA" w:rsidRDefault="001F31CA" w:rsidP="002C01D9">
      <w:pPr>
        <w:pStyle w:val="BodyText"/>
        <w:ind w:left="1080" w:right="-180" w:hanging="1080"/>
      </w:pPr>
      <w:r>
        <w:tab/>
      </w:r>
      <w:r>
        <w:tab/>
      </w:r>
      <w:r>
        <w:tab/>
      </w:r>
    </w:p>
    <w:p w:rsidR="0059386B" w:rsidRDefault="0059386B" w:rsidP="00B93910">
      <w:pPr>
        <w:pStyle w:val="BodyText"/>
        <w:tabs>
          <w:tab w:val="left" w:pos="360"/>
          <w:tab w:val="left" w:pos="540"/>
          <w:tab w:val="left" w:pos="630"/>
          <w:tab w:val="left" w:pos="1080"/>
        </w:tabs>
        <w:ind w:left="720" w:right="-450" w:hanging="720"/>
        <w:rPr>
          <w:b/>
          <w:sz w:val="20"/>
        </w:rPr>
      </w:pPr>
      <w:r>
        <w:rPr>
          <w:sz w:val="20"/>
        </w:rPr>
        <w:t>B12</w:t>
      </w:r>
      <w:r>
        <w:rPr>
          <w:sz w:val="20"/>
        </w:rPr>
        <w:tab/>
      </w:r>
      <w:r>
        <w:rPr>
          <w:sz w:val="20"/>
        </w:rPr>
        <w:tab/>
      </w:r>
      <w:r>
        <w:rPr>
          <w:sz w:val="20"/>
        </w:rPr>
        <w:tab/>
      </w:r>
      <w:r>
        <w:rPr>
          <w:b/>
          <w:sz w:val="20"/>
        </w:rPr>
        <w:t>Dividend</w:t>
      </w:r>
    </w:p>
    <w:p w:rsidR="006E4315" w:rsidRDefault="0059386B" w:rsidP="00491580">
      <w:pPr>
        <w:pStyle w:val="BodyText"/>
        <w:tabs>
          <w:tab w:val="left" w:pos="360"/>
          <w:tab w:val="left" w:pos="540"/>
          <w:tab w:val="left" w:pos="630"/>
          <w:tab w:val="left" w:pos="1080"/>
        </w:tabs>
        <w:ind w:left="720" w:right="-450" w:hanging="1800"/>
        <w:rPr>
          <w:sz w:val="20"/>
        </w:rPr>
      </w:pPr>
      <w:r>
        <w:rPr>
          <w:sz w:val="20"/>
        </w:rPr>
        <w:tab/>
      </w:r>
    </w:p>
    <w:p w:rsidR="000A148D" w:rsidRDefault="00B93910" w:rsidP="008776EF">
      <w:pPr>
        <w:ind w:left="720" w:right="-90" w:hanging="1800"/>
        <w:jc w:val="both"/>
      </w:pPr>
      <w:r>
        <w:tab/>
      </w:r>
      <w:r w:rsidR="0003680D">
        <w:t xml:space="preserve">No dividend was declared during the </w:t>
      </w:r>
      <w:r w:rsidR="00964DC3">
        <w:t>quarter</w:t>
      </w:r>
      <w:r w:rsidR="0003680D">
        <w:t xml:space="preserve"> under review.</w:t>
      </w:r>
    </w:p>
    <w:p w:rsidR="0061411E" w:rsidRDefault="0061411E" w:rsidP="00491580">
      <w:pPr>
        <w:pStyle w:val="BodyText"/>
        <w:tabs>
          <w:tab w:val="left" w:pos="360"/>
          <w:tab w:val="left" w:pos="540"/>
          <w:tab w:val="left" w:pos="630"/>
          <w:tab w:val="left" w:pos="1080"/>
        </w:tabs>
        <w:ind w:left="720" w:right="-450" w:hanging="1800"/>
        <w:rPr>
          <w:sz w:val="20"/>
        </w:rPr>
      </w:pPr>
    </w:p>
    <w:p w:rsidR="00C535DA" w:rsidRDefault="00C535DA" w:rsidP="00491580">
      <w:pPr>
        <w:pStyle w:val="BodyText"/>
        <w:tabs>
          <w:tab w:val="left" w:pos="360"/>
          <w:tab w:val="left" w:pos="540"/>
          <w:tab w:val="left" w:pos="630"/>
          <w:tab w:val="left" w:pos="1080"/>
        </w:tabs>
        <w:ind w:left="720" w:right="-450" w:hanging="1800"/>
        <w:rPr>
          <w:sz w:val="20"/>
        </w:rPr>
      </w:pPr>
    </w:p>
    <w:p w:rsidR="0059386B" w:rsidRDefault="00286C47" w:rsidP="00B93910">
      <w:pPr>
        <w:pStyle w:val="BodyText"/>
        <w:tabs>
          <w:tab w:val="left" w:pos="360"/>
          <w:tab w:val="left" w:pos="540"/>
          <w:tab w:val="left" w:pos="630"/>
          <w:tab w:val="left" w:pos="1080"/>
        </w:tabs>
        <w:ind w:left="720" w:right="-450" w:hanging="720"/>
        <w:rPr>
          <w:b/>
          <w:sz w:val="20"/>
        </w:rPr>
      </w:pPr>
      <w:r>
        <w:rPr>
          <w:sz w:val="20"/>
        </w:rPr>
        <w:t>B</w:t>
      </w:r>
      <w:r w:rsidR="0059386B">
        <w:rPr>
          <w:sz w:val="20"/>
        </w:rPr>
        <w:t>13</w:t>
      </w:r>
      <w:r w:rsidR="0059386B">
        <w:rPr>
          <w:sz w:val="20"/>
        </w:rPr>
        <w:tab/>
      </w:r>
      <w:r w:rsidR="0059386B">
        <w:rPr>
          <w:sz w:val="20"/>
        </w:rPr>
        <w:tab/>
      </w:r>
      <w:r w:rsidR="0059386B">
        <w:rPr>
          <w:sz w:val="20"/>
        </w:rPr>
        <w:tab/>
      </w:r>
      <w:r w:rsidR="0059386B">
        <w:rPr>
          <w:b/>
          <w:sz w:val="20"/>
        </w:rPr>
        <w:t>Earnings per share ("EPS")</w:t>
      </w:r>
    </w:p>
    <w:p w:rsidR="0059386B" w:rsidRDefault="0059386B" w:rsidP="00491580">
      <w:pPr>
        <w:pStyle w:val="BodyText"/>
        <w:tabs>
          <w:tab w:val="left" w:pos="360"/>
          <w:tab w:val="left" w:pos="540"/>
          <w:tab w:val="left" w:pos="630"/>
          <w:tab w:val="left" w:pos="1080"/>
        </w:tabs>
        <w:ind w:left="720" w:right="-450" w:hanging="1800"/>
        <w:rPr>
          <w:sz w:val="20"/>
        </w:rPr>
      </w:pPr>
    </w:p>
    <w:p w:rsidR="0059386B" w:rsidRDefault="0059386B" w:rsidP="00B93910">
      <w:pPr>
        <w:pStyle w:val="BodyText"/>
        <w:numPr>
          <w:ilvl w:val="0"/>
          <w:numId w:val="2"/>
        </w:numPr>
        <w:tabs>
          <w:tab w:val="left" w:pos="360"/>
          <w:tab w:val="left" w:pos="540"/>
          <w:tab w:val="left" w:pos="630"/>
        </w:tabs>
        <w:ind w:right="-450" w:hanging="450"/>
        <w:rPr>
          <w:b/>
          <w:sz w:val="20"/>
        </w:rPr>
      </w:pPr>
      <w:r>
        <w:rPr>
          <w:b/>
          <w:sz w:val="20"/>
        </w:rPr>
        <w:t>Basic</w:t>
      </w:r>
    </w:p>
    <w:p w:rsidR="00345849" w:rsidRDefault="00345849" w:rsidP="00491580">
      <w:pPr>
        <w:pStyle w:val="BodyText"/>
        <w:tabs>
          <w:tab w:val="left" w:pos="360"/>
          <w:tab w:val="left" w:pos="540"/>
          <w:tab w:val="left" w:pos="630"/>
          <w:tab w:val="left" w:pos="1080"/>
        </w:tabs>
        <w:ind w:left="1080" w:right="-450" w:hanging="1800"/>
        <w:rPr>
          <w:sz w:val="20"/>
        </w:rPr>
      </w:pPr>
    </w:p>
    <w:p w:rsidR="0059386B" w:rsidRDefault="00B93910" w:rsidP="00B13259">
      <w:pPr>
        <w:pStyle w:val="BodyText"/>
        <w:tabs>
          <w:tab w:val="left" w:pos="360"/>
          <w:tab w:val="left" w:pos="540"/>
          <w:tab w:val="left" w:pos="630"/>
          <w:tab w:val="left" w:pos="1080"/>
        </w:tabs>
        <w:ind w:left="1080" w:right="-90" w:hanging="1800"/>
        <w:rPr>
          <w:sz w:val="20"/>
        </w:rPr>
      </w:pPr>
      <w:r>
        <w:rPr>
          <w:sz w:val="20"/>
        </w:rPr>
        <w:tab/>
      </w:r>
      <w:r>
        <w:rPr>
          <w:sz w:val="20"/>
        </w:rPr>
        <w:tab/>
      </w:r>
      <w:r>
        <w:rPr>
          <w:sz w:val="20"/>
        </w:rPr>
        <w:tab/>
      </w:r>
      <w:r>
        <w:rPr>
          <w:sz w:val="20"/>
        </w:rPr>
        <w:tab/>
      </w:r>
      <w:r w:rsidR="0059386B">
        <w:rPr>
          <w:sz w:val="20"/>
        </w:rPr>
        <w:t xml:space="preserve">Basic EPS is calculated by dividing the net profit for the </w:t>
      </w:r>
      <w:r w:rsidR="00D40DE5">
        <w:rPr>
          <w:sz w:val="20"/>
        </w:rPr>
        <w:t>periods under review</w:t>
      </w:r>
      <w:r w:rsidR="0059386B">
        <w:rPr>
          <w:sz w:val="20"/>
        </w:rPr>
        <w:t xml:space="preserve"> by the weighted average number of ordinary sh</w:t>
      </w:r>
      <w:r w:rsidR="005367CB">
        <w:rPr>
          <w:sz w:val="20"/>
        </w:rPr>
        <w:t>a</w:t>
      </w:r>
      <w:r w:rsidR="00D40DE5">
        <w:rPr>
          <w:sz w:val="20"/>
        </w:rPr>
        <w:t>res in issue during the same periods.</w:t>
      </w:r>
    </w:p>
    <w:p w:rsidR="002C01D9" w:rsidRDefault="002C01D9" w:rsidP="00B13259">
      <w:pPr>
        <w:pStyle w:val="BodyText"/>
        <w:tabs>
          <w:tab w:val="left" w:pos="360"/>
          <w:tab w:val="left" w:pos="540"/>
          <w:tab w:val="left" w:pos="630"/>
          <w:tab w:val="left" w:pos="1080"/>
        </w:tabs>
        <w:ind w:left="1080" w:right="-90" w:hanging="1800"/>
        <w:rPr>
          <w:sz w:val="20"/>
        </w:rPr>
      </w:pPr>
    </w:p>
    <w:p w:rsidR="00FD3BA9" w:rsidRDefault="00FD3BA9" w:rsidP="00491580">
      <w:pPr>
        <w:pStyle w:val="BodyText"/>
        <w:tabs>
          <w:tab w:val="left" w:pos="360"/>
          <w:tab w:val="left" w:pos="540"/>
          <w:tab w:val="left" w:pos="630"/>
          <w:tab w:val="left" w:pos="1080"/>
        </w:tabs>
        <w:ind w:left="1080" w:right="-450" w:hanging="1800"/>
        <w:rPr>
          <w:sz w:val="20"/>
        </w:rPr>
      </w:pPr>
    </w:p>
    <w:tbl>
      <w:tblPr>
        <w:tblW w:w="8100" w:type="dxa"/>
        <w:tblInd w:w="1098" w:type="dxa"/>
        <w:tblLayout w:type="fixed"/>
        <w:tblLook w:val="0000"/>
      </w:tblPr>
      <w:tblGrid>
        <w:gridCol w:w="1980"/>
        <w:gridCol w:w="1170"/>
        <w:gridCol w:w="1890"/>
        <w:gridCol w:w="1170"/>
        <w:gridCol w:w="1890"/>
      </w:tblGrid>
      <w:tr w:rsidR="0059386B">
        <w:trPr>
          <w:cantSplit/>
        </w:trPr>
        <w:tc>
          <w:tcPr>
            <w:tcW w:w="1980" w:type="dxa"/>
          </w:tcPr>
          <w:p w:rsidR="0059386B" w:rsidRDefault="0059386B" w:rsidP="00491580">
            <w:pPr>
              <w:pStyle w:val="BodyText"/>
              <w:tabs>
                <w:tab w:val="left" w:pos="360"/>
                <w:tab w:val="left" w:pos="540"/>
                <w:tab w:val="left" w:pos="630"/>
                <w:tab w:val="left" w:pos="1080"/>
              </w:tabs>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59386B" w:rsidRDefault="0059386B" w:rsidP="00B93910">
            <w:pPr>
              <w:pStyle w:val="BodyText"/>
              <w:tabs>
                <w:tab w:val="left" w:pos="360"/>
                <w:tab w:val="left" w:pos="540"/>
                <w:tab w:val="left" w:pos="630"/>
                <w:tab w:val="left" w:pos="1080"/>
              </w:tabs>
              <w:ind w:right="-450" w:hanging="108"/>
              <w:jc w:val="center"/>
              <w:rPr>
                <w:b/>
                <w:sz w:val="18"/>
              </w:rPr>
            </w:pPr>
            <w:r>
              <w:rPr>
                <w:b/>
                <w:sz w:val="18"/>
              </w:rPr>
              <w:t>INDIVIDUAL QUARTER</w:t>
            </w:r>
          </w:p>
        </w:tc>
        <w:tc>
          <w:tcPr>
            <w:tcW w:w="3060" w:type="dxa"/>
            <w:gridSpan w:val="2"/>
            <w:tcBorders>
              <w:top w:val="single" w:sz="4" w:space="0" w:color="auto"/>
              <w:left w:val="nil"/>
              <w:bottom w:val="single" w:sz="4" w:space="0" w:color="auto"/>
              <w:right w:val="single" w:sz="4" w:space="0" w:color="auto"/>
            </w:tcBorders>
          </w:tcPr>
          <w:p w:rsidR="0059386B" w:rsidRDefault="0059386B" w:rsidP="00B93910">
            <w:pPr>
              <w:pStyle w:val="BodyText"/>
              <w:tabs>
                <w:tab w:val="left" w:pos="360"/>
                <w:tab w:val="left" w:pos="540"/>
                <w:tab w:val="left" w:pos="630"/>
                <w:tab w:val="left" w:pos="1080"/>
              </w:tabs>
              <w:ind w:right="-450" w:hanging="108"/>
              <w:jc w:val="center"/>
              <w:rPr>
                <w:b/>
                <w:sz w:val="18"/>
              </w:rPr>
            </w:pPr>
            <w:r>
              <w:rPr>
                <w:b/>
                <w:sz w:val="18"/>
              </w:rPr>
              <w:t>CUMULATIVE QUARTER</w:t>
            </w:r>
          </w:p>
        </w:tc>
      </w:tr>
      <w:tr w:rsidR="0059386B">
        <w:tc>
          <w:tcPr>
            <w:tcW w:w="1980" w:type="dxa"/>
          </w:tcPr>
          <w:p w:rsidR="0059386B" w:rsidRDefault="0059386B" w:rsidP="00491580">
            <w:pPr>
              <w:pStyle w:val="BodyText"/>
              <w:tabs>
                <w:tab w:val="left" w:pos="360"/>
                <w:tab w:val="left" w:pos="540"/>
                <w:tab w:val="left" w:pos="630"/>
                <w:tab w:val="left" w:pos="1080"/>
              </w:tabs>
              <w:ind w:right="-450" w:hanging="1800"/>
              <w:rPr>
                <w:sz w:val="20"/>
              </w:rPr>
            </w:pPr>
          </w:p>
        </w:tc>
        <w:tc>
          <w:tcPr>
            <w:tcW w:w="1170" w:type="dxa"/>
            <w:tcBorders>
              <w:left w:val="single" w:sz="4" w:space="0" w:color="auto"/>
              <w:bottom w:val="single" w:sz="4" w:space="0" w:color="auto"/>
            </w:tcBorders>
          </w:tcPr>
          <w:p w:rsidR="0059386B" w:rsidRDefault="0059386B" w:rsidP="00B93910">
            <w:pPr>
              <w:pStyle w:val="BodyText"/>
              <w:tabs>
                <w:tab w:val="left" w:pos="360"/>
                <w:tab w:val="left" w:pos="540"/>
                <w:tab w:val="left" w:pos="630"/>
                <w:tab w:val="left" w:pos="1080"/>
              </w:tabs>
              <w:ind w:right="-108" w:hanging="108"/>
              <w:jc w:val="center"/>
              <w:rPr>
                <w:b/>
                <w:sz w:val="18"/>
              </w:rPr>
            </w:pPr>
            <w:r>
              <w:rPr>
                <w:b/>
                <w:sz w:val="18"/>
              </w:rPr>
              <w:t>CURRENT</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YEAR</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QUARTER</w:t>
            </w:r>
          </w:p>
          <w:p w:rsidR="00345849" w:rsidRDefault="0009406A" w:rsidP="002C01D9">
            <w:pPr>
              <w:pStyle w:val="BodyText"/>
              <w:tabs>
                <w:tab w:val="left" w:pos="360"/>
                <w:tab w:val="left" w:pos="540"/>
                <w:tab w:val="left" w:pos="630"/>
                <w:tab w:val="left" w:pos="1080"/>
              </w:tabs>
              <w:ind w:right="-108" w:hanging="108"/>
              <w:jc w:val="center"/>
              <w:rPr>
                <w:b/>
                <w:sz w:val="18"/>
              </w:rPr>
            </w:pPr>
            <w:r>
              <w:rPr>
                <w:b/>
                <w:sz w:val="18"/>
              </w:rPr>
              <w:t>3</w:t>
            </w:r>
            <w:r w:rsidR="00F4278C">
              <w:rPr>
                <w:b/>
                <w:sz w:val="18"/>
              </w:rPr>
              <w:t>1</w:t>
            </w:r>
            <w:r w:rsidR="0059386B">
              <w:rPr>
                <w:b/>
                <w:sz w:val="18"/>
              </w:rPr>
              <w:t>/</w:t>
            </w:r>
            <w:r w:rsidR="002C01D9">
              <w:rPr>
                <w:b/>
                <w:sz w:val="18"/>
              </w:rPr>
              <w:t>3</w:t>
            </w:r>
            <w:r w:rsidR="00BA6862">
              <w:rPr>
                <w:b/>
                <w:sz w:val="18"/>
              </w:rPr>
              <w:t>/20</w:t>
            </w:r>
            <w:r w:rsidR="007B23AB">
              <w:rPr>
                <w:b/>
                <w:sz w:val="18"/>
              </w:rPr>
              <w:t>1</w:t>
            </w:r>
            <w:r w:rsidR="002C01D9">
              <w:rPr>
                <w:b/>
                <w:sz w:val="18"/>
              </w:rPr>
              <w:t>1</w:t>
            </w:r>
          </w:p>
        </w:tc>
        <w:tc>
          <w:tcPr>
            <w:tcW w:w="1890" w:type="dxa"/>
            <w:tcBorders>
              <w:top w:val="single" w:sz="4" w:space="0" w:color="auto"/>
              <w:left w:val="single" w:sz="4" w:space="0" w:color="auto"/>
              <w:bottom w:val="single" w:sz="4" w:space="0" w:color="auto"/>
              <w:right w:val="single" w:sz="4" w:space="0" w:color="auto"/>
            </w:tcBorders>
          </w:tcPr>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PRECEDING YEAR</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CORRESPONDING</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QUARTER</w:t>
            </w:r>
          </w:p>
          <w:p w:rsidR="0059386B" w:rsidRDefault="0059386B" w:rsidP="002C01D9">
            <w:pPr>
              <w:pStyle w:val="BodyText"/>
              <w:tabs>
                <w:tab w:val="left" w:pos="360"/>
                <w:tab w:val="left" w:pos="540"/>
                <w:tab w:val="left" w:pos="630"/>
                <w:tab w:val="left" w:pos="1080"/>
              </w:tabs>
              <w:ind w:right="-108" w:hanging="108"/>
              <w:jc w:val="center"/>
              <w:rPr>
                <w:b/>
                <w:sz w:val="18"/>
              </w:rPr>
            </w:pPr>
            <w:r>
              <w:rPr>
                <w:b/>
                <w:sz w:val="18"/>
              </w:rPr>
              <w:t>3</w:t>
            </w:r>
            <w:r w:rsidR="00F4278C">
              <w:rPr>
                <w:b/>
                <w:sz w:val="18"/>
              </w:rPr>
              <w:t>1</w:t>
            </w:r>
            <w:r>
              <w:rPr>
                <w:b/>
                <w:sz w:val="18"/>
              </w:rPr>
              <w:t>/</w:t>
            </w:r>
            <w:r w:rsidR="002C01D9">
              <w:rPr>
                <w:b/>
                <w:sz w:val="18"/>
              </w:rPr>
              <w:t>3</w:t>
            </w:r>
            <w:r w:rsidR="003443DE">
              <w:rPr>
                <w:b/>
                <w:sz w:val="18"/>
              </w:rPr>
              <w:t>/</w:t>
            </w:r>
            <w:r w:rsidR="00BA6862">
              <w:rPr>
                <w:b/>
                <w:sz w:val="18"/>
              </w:rPr>
              <w:t>20</w:t>
            </w:r>
            <w:r w:rsidR="002C01D9">
              <w:rPr>
                <w:b/>
                <w:sz w:val="18"/>
              </w:rPr>
              <w:t>10</w:t>
            </w:r>
          </w:p>
        </w:tc>
        <w:tc>
          <w:tcPr>
            <w:tcW w:w="1170" w:type="dxa"/>
            <w:tcBorders>
              <w:top w:val="single" w:sz="4" w:space="0" w:color="auto"/>
              <w:left w:val="single" w:sz="4" w:space="0" w:color="auto"/>
              <w:bottom w:val="single" w:sz="4" w:space="0" w:color="auto"/>
              <w:right w:val="single" w:sz="4" w:space="0" w:color="auto"/>
            </w:tcBorders>
          </w:tcPr>
          <w:p w:rsidR="0059386B" w:rsidRDefault="0059386B" w:rsidP="00B93910">
            <w:pPr>
              <w:pStyle w:val="BodyText"/>
              <w:tabs>
                <w:tab w:val="left" w:pos="360"/>
                <w:tab w:val="left" w:pos="540"/>
                <w:tab w:val="left" w:pos="630"/>
                <w:tab w:val="left" w:pos="1080"/>
              </w:tabs>
              <w:ind w:right="-108" w:hanging="108"/>
              <w:jc w:val="center"/>
              <w:rPr>
                <w:b/>
                <w:sz w:val="18"/>
              </w:rPr>
            </w:pPr>
            <w:r>
              <w:rPr>
                <w:b/>
                <w:sz w:val="18"/>
              </w:rPr>
              <w:t>CURRENT</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YEAR TO DATE</w:t>
            </w:r>
          </w:p>
          <w:p w:rsidR="0059386B" w:rsidRDefault="003443DE" w:rsidP="002C01D9">
            <w:pPr>
              <w:pStyle w:val="BodyText"/>
              <w:tabs>
                <w:tab w:val="left" w:pos="360"/>
                <w:tab w:val="left" w:pos="540"/>
                <w:tab w:val="left" w:pos="630"/>
                <w:tab w:val="left" w:pos="1080"/>
              </w:tabs>
              <w:ind w:right="-108" w:hanging="108"/>
              <w:jc w:val="center"/>
              <w:rPr>
                <w:b/>
                <w:sz w:val="18"/>
              </w:rPr>
            </w:pPr>
            <w:r>
              <w:rPr>
                <w:b/>
                <w:sz w:val="18"/>
              </w:rPr>
              <w:t>3</w:t>
            </w:r>
            <w:r w:rsidR="00F4278C">
              <w:rPr>
                <w:b/>
                <w:sz w:val="18"/>
              </w:rPr>
              <w:t>1</w:t>
            </w:r>
            <w:r w:rsidR="00BA6862">
              <w:rPr>
                <w:b/>
                <w:sz w:val="18"/>
              </w:rPr>
              <w:t>/</w:t>
            </w:r>
            <w:r w:rsidR="002C01D9">
              <w:rPr>
                <w:b/>
                <w:sz w:val="18"/>
              </w:rPr>
              <w:t>3</w:t>
            </w:r>
            <w:r w:rsidR="00BA6862">
              <w:rPr>
                <w:b/>
                <w:sz w:val="18"/>
              </w:rPr>
              <w:t>/20</w:t>
            </w:r>
            <w:r w:rsidR="007B23AB">
              <w:rPr>
                <w:b/>
                <w:sz w:val="18"/>
              </w:rPr>
              <w:t>1</w:t>
            </w:r>
            <w:r w:rsidR="002C01D9">
              <w:rPr>
                <w:b/>
                <w:sz w:val="18"/>
              </w:rPr>
              <w:t>1</w:t>
            </w:r>
          </w:p>
        </w:tc>
        <w:tc>
          <w:tcPr>
            <w:tcW w:w="1890" w:type="dxa"/>
            <w:tcBorders>
              <w:left w:val="nil"/>
              <w:bottom w:val="single" w:sz="4" w:space="0" w:color="auto"/>
              <w:right w:val="single" w:sz="4" w:space="0" w:color="auto"/>
            </w:tcBorders>
          </w:tcPr>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PRECEDING YEAR</w:t>
            </w:r>
          </w:p>
          <w:p w:rsidR="003B0D9D" w:rsidRDefault="003B0D9D" w:rsidP="00B93910">
            <w:pPr>
              <w:pStyle w:val="BodyText"/>
              <w:tabs>
                <w:tab w:val="left" w:pos="360"/>
                <w:tab w:val="left" w:pos="540"/>
                <w:tab w:val="left" w:pos="630"/>
                <w:tab w:val="left" w:pos="1080"/>
              </w:tabs>
              <w:ind w:right="-108" w:hanging="108"/>
              <w:jc w:val="center"/>
              <w:rPr>
                <w:b/>
                <w:sz w:val="18"/>
              </w:rPr>
            </w:pPr>
            <w:r>
              <w:rPr>
                <w:b/>
                <w:sz w:val="18"/>
              </w:rPr>
              <w:t>CORRESPONDING</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PERIOD</w:t>
            </w:r>
          </w:p>
          <w:p w:rsidR="0059386B" w:rsidRDefault="00BA6862" w:rsidP="002C01D9">
            <w:pPr>
              <w:pStyle w:val="BodyText"/>
              <w:tabs>
                <w:tab w:val="left" w:pos="360"/>
                <w:tab w:val="left" w:pos="540"/>
                <w:tab w:val="left" w:pos="702"/>
                <w:tab w:val="left" w:pos="1080"/>
              </w:tabs>
              <w:ind w:right="-108" w:hanging="108"/>
              <w:jc w:val="center"/>
              <w:rPr>
                <w:b/>
                <w:sz w:val="18"/>
              </w:rPr>
            </w:pPr>
            <w:r>
              <w:rPr>
                <w:b/>
                <w:sz w:val="18"/>
              </w:rPr>
              <w:t>3</w:t>
            </w:r>
            <w:r w:rsidR="00F4278C">
              <w:rPr>
                <w:b/>
                <w:sz w:val="18"/>
              </w:rPr>
              <w:t>1</w:t>
            </w:r>
            <w:r>
              <w:rPr>
                <w:b/>
                <w:sz w:val="18"/>
              </w:rPr>
              <w:t>/</w:t>
            </w:r>
            <w:r w:rsidR="002C01D9">
              <w:rPr>
                <w:b/>
                <w:sz w:val="18"/>
              </w:rPr>
              <w:t>3</w:t>
            </w:r>
            <w:r>
              <w:rPr>
                <w:b/>
                <w:sz w:val="18"/>
              </w:rPr>
              <w:t>/20</w:t>
            </w:r>
            <w:r w:rsidR="002C01D9">
              <w:rPr>
                <w:b/>
                <w:sz w:val="18"/>
              </w:rPr>
              <w:t>10</w:t>
            </w:r>
          </w:p>
        </w:tc>
      </w:tr>
      <w:tr w:rsidR="0059386B">
        <w:tc>
          <w:tcPr>
            <w:tcW w:w="1980" w:type="dxa"/>
            <w:tcBorders>
              <w:right w:val="single" w:sz="4" w:space="0" w:color="auto"/>
            </w:tcBorders>
          </w:tcPr>
          <w:p w:rsidR="0059386B" w:rsidRDefault="0059386B" w:rsidP="00462395">
            <w:pPr>
              <w:pStyle w:val="BodyText"/>
              <w:tabs>
                <w:tab w:val="left" w:pos="360"/>
                <w:tab w:val="left" w:pos="540"/>
                <w:tab w:val="left" w:pos="630"/>
                <w:tab w:val="left" w:pos="1080"/>
              </w:tabs>
              <w:ind w:right="-108" w:hanging="108"/>
              <w:rPr>
                <w:sz w:val="20"/>
              </w:rPr>
            </w:pPr>
          </w:p>
        </w:tc>
        <w:tc>
          <w:tcPr>
            <w:tcW w:w="117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89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17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89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r>
      <w:tr w:rsidR="00EB318F" w:rsidRPr="00176F63">
        <w:tc>
          <w:tcPr>
            <w:tcW w:w="1980" w:type="dxa"/>
            <w:tcBorders>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jc w:val="left"/>
              <w:rPr>
                <w:sz w:val="20"/>
              </w:rPr>
            </w:pPr>
            <w:r>
              <w:rPr>
                <w:sz w:val="20"/>
              </w:rPr>
              <w:t>Net profit (RM’000)</w:t>
            </w:r>
          </w:p>
        </w:tc>
        <w:tc>
          <w:tcPr>
            <w:tcW w:w="1170" w:type="dxa"/>
            <w:tcBorders>
              <w:left w:val="single" w:sz="4" w:space="0" w:color="auto"/>
              <w:right w:val="single" w:sz="4" w:space="0" w:color="auto"/>
            </w:tcBorders>
            <w:shd w:val="clear" w:color="auto" w:fill="auto"/>
          </w:tcPr>
          <w:p w:rsidR="00EB318F" w:rsidRPr="00C51A87" w:rsidRDefault="00EB318F" w:rsidP="00A21A4D">
            <w:pPr>
              <w:pStyle w:val="BodyText"/>
              <w:tabs>
                <w:tab w:val="left" w:pos="360"/>
                <w:tab w:val="left" w:pos="540"/>
                <w:tab w:val="left" w:pos="630"/>
                <w:tab w:val="left" w:pos="1080"/>
              </w:tabs>
              <w:ind w:right="-108" w:hanging="108"/>
              <w:jc w:val="center"/>
              <w:rPr>
                <w:sz w:val="20"/>
              </w:rPr>
            </w:pPr>
            <w:r w:rsidRPr="00C51A87">
              <w:rPr>
                <w:sz w:val="20"/>
              </w:rPr>
              <w:t xml:space="preserve"> </w:t>
            </w:r>
            <w:r>
              <w:rPr>
                <w:sz w:val="20"/>
              </w:rPr>
              <w:t xml:space="preserve"> </w:t>
            </w:r>
            <w:r w:rsidRPr="00C51A87">
              <w:rPr>
                <w:sz w:val="20"/>
              </w:rPr>
              <w:t xml:space="preserve">  </w:t>
            </w:r>
            <w:r>
              <w:rPr>
                <w:sz w:val="20"/>
              </w:rPr>
              <w:t>7,825</w:t>
            </w:r>
          </w:p>
        </w:tc>
        <w:tc>
          <w:tcPr>
            <w:tcW w:w="1890" w:type="dxa"/>
            <w:tcBorders>
              <w:left w:val="single" w:sz="4" w:space="0" w:color="auto"/>
              <w:right w:val="single" w:sz="4" w:space="0" w:color="auto"/>
            </w:tcBorders>
            <w:shd w:val="clear" w:color="auto" w:fill="auto"/>
          </w:tcPr>
          <w:p w:rsidR="00EB318F" w:rsidRPr="00ED6FE8" w:rsidRDefault="00EB318F" w:rsidP="00A21A4D">
            <w:pPr>
              <w:pStyle w:val="BodyText"/>
              <w:tabs>
                <w:tab w:val="left" w:pos="360"/>
                <w:tab w:val="left" w:pos="540"/>
                <w:tab w:val="left" w:pos="630"/>
                <w:tab w:val="left" w:pos="1080"/>
              </w:tabs>
              <w:ind w:right="-108" w:hanging="108"/>
              <w:jc w:val="center"/>
              <w:rPr>
                <w:sz w:val="20"/>
              </w:rPr>
            </w:pPr>
            <w:r>
              <w:rPr>
                <w:sz w:val="20"/>
              </w:rPr>
              <w:t xml:space="preserve">  38,163</w:t>
            </w:r>
          </w:p>
        </w:tc>
        <w:tc>
          <w:tcPr>
            <w:tcW w:w="1170" w:type="dxa"/>
            <w:tcBorders>
              <w:left w:val="single" w:sz="4" w:space="0" w:color="auto"/>
              <w:right w:val="single" w:sz="4" w:space="0" w:color="auto"/>
            </w:tcBorders>
            <w:shd w:val="clear" w:color="auto" w:fill="auto"/>
          </w:tcPr>
          <w:p w:rsidR="00EB318F" w:rsidRPr="00C51A87" w:rsidRDefault="00EB318F" w:rsidP="00EB318F">
            <w:pPr>
              <w:pStyle w:val="BodyText"/>
              <w:tabs>
                <w:tab w:val="left" w:pos="360"/>
                <w:tab w:val="left" w:pos="540"/>
                <w:tab w:val="left" w:pos="630"/>
                <w:tab w:val="left" w:pos="1080"/>
              </w:tabs>
              <w:ind w:right="-108" w:hanging="108"/>
              <w:jc w:val="center"/>
              <w:rPr>
                <w:sz w:val="20"/>
              </w:rPr>
            </w:pPr>
            <w:r w:rsidRPr="00C51A87">
              <w:rPr>
                <w:sz w:val="20"/>
              </w:rPr>
              <w:t xml:space="preserve"> </w:t>
            </w:r>
            <w:r>
              <w:rPr>
                <w:sz w:val="20"/>
              </w:rPr>
              <w:t xml:space="preserve"> </w:t>
            </w:r>
            <w:r w:rsidRPr="00C51A87">
              <w:rPr>
                <w:sz w:val="20"/>
              </w:rPr>
              <w:t xml:space="preserve">  </w:t>
            </w:r>
            <w:r>
              <w:rPr>
                <w:sz w:val="20"/>
              </w:rPr>
              <w:t>7,825</w:t>
            </w:r>
          </w:p>
        </w:tc>
        <w:tc>
          <w:tcPr>
            <w:tcW w:w="1890" w:type="dxa"/>
            <w:tcBorders>
              <w:left w:val="single" w:sz="4" w:space="0" w:color="auto"/>
              <w:right w:val="single" w:sz="4" w:space="0" w:color="auto"/>
            </w:tcBorders>
          </w:tcPr>
          <w:p w:rsidR="00EB318F" w:rsidRPr="00ED6FE8" w:rsidRDefault="00EB318F" w:rsidP="00EB318F">
            <w:pPr>
              <w:pStyle w:val="BodyText"/>
              <w:tabs>
                <w:tab w:val="left" w:pos="360"/>
                <w:tab w:val="left" w:pos="540"/>
                <w:tab w:val="left" w:pos="630"/>
                <w:tab w:val="left" w:pos="1080"/>
              </w:tabs>
              <w:ind w:right="-108" w:hanging="108"/>
              <w:jc w:val="center"/>
              <w:rPr>
                <w:sz w:val="20"/>
              </w:rPr>
            </w:pPr>
            <w:r>
              <w:rPr>
                <w:sz w:val="20"/>
              </w:rPr>
              <w:t xml:space="preserve">  38,163</w:t>
            </w:r>
          </w:p>
        </w:tc>
      </w:tr>
      <w:tr w:rsidR="00EB318F" w:rsidRPr="00176F63">
        <w:trPr>
          <w:trHeight w:val="108"/>
        </w:trPr>
        <w:tc>
          <w:tcPr>
            <w:tcW w:w="1980" w:type="dxa"/>
            <w:tcBorders>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jc w:val="left"/>
              <w:rPr>
                <w:sz w:val="20"/>
              </w:rPr>
            </w:pPr>
          </w:p>
        </w:tc>
        <w:tc>
          <w:tcPr>
            <w:tcW w:w="1170" w:type="dxa"/>
            <w:tcBorders>
              <w:left w:val="single" w:sz="4" w:space="0" w:color="auto"/>
              <w:right w:val="single" w:sz="4" w:space="0" w:color="auto"/>
            </w:tcBorders>
            <w:shd w:val="clear" w:color="auto" w:fill="auto"/>
          </w:tcPr>
          <w:p w:rsidR="00EB318F" w:rsidRPr="00C51A87" w:rsidRDefault="00EB318F" w:rsidP="00A21A4D">
            <w:pPr>
              <w:pStyle w:val="BodyText"/>
              <w:tabs>
                <w:tab w:val="left" w:pos="360"/>
                <w:tab w:val="left" w:pos="540"/>
                <w:tab w:val="left" w:pos="630"/>
                <w:tab w:val="left" w:pos="1080"/>
              </w:tabs>
              <w:ind w:right="-108" w:hanging="108"/>
              <w:jc w:val="center"/>
              <w:rPr>
                <w:sz w:val="20"/>
              </w:rPr>
            </w:pPr>
          </w:p>
        </w:tc>
        <w:tc>
          <w:tcPr>
            <w:tcW w:w="1890" w:type="dxa"/>
            <w:tcBorders>
              <w:left w:val="single" w:sz="4" w:space="0" w:color="auto"/>
              <w:right w:val="single" w:sz="4" w:space="0" w:color="auto"/>
            </w:tcBorders>
            <w:shd w:val="clear" w:color="auto" w:fill="auto"/>
          </w:tcPr>
          <w:p w:rsidR="00EB318F" w:rsidRPr="00176F63" w:rsidRDefault="00EB318F" w:rsidP="00A21A4D">
            <w:pPr>
              <w:pStyle w:val="BodyText"/>
              <w:tabs>
                <w:tab w:val="left" w:pos="360"/>
                <w:tab w:val="left" w:pos="540"/>
                <w:tab w:val="left" w:pos="630"/>
                <w:tab w:val="left" w:pos="1080"/>
              </w:tabs>
              <w:ind w:right="-108" w:hanging="108"/>
              <w:jc w:val="center"/>
              <w:rPr>
                <w:sz w:val="20"/>
              </w:rPr>
            </w:pPr>
          </w:p>
        </w:tc>
        <w:tc>
          <w:tcPr>
            <w:tcW w:w="1170" w:type="dxa"/>
            <w:tcBorders>
              <w:left w:val="single" w:sz="4" w:space="0" w:color="auto"/>
              <w:right w:val="single" w:sz="4" w:space="0" w:color="auto"/>
            </w:tcBorders>
            <w:shd w:val="clear" w:color="auto" w:fill="auto"/>
          </w:tcPr>
          <w:p w:rsidR="00EB318F" w:rsidRPr="00C51A87" w:rsidRDefault="00EB318F" w:rsidP="00B91CE4">
            <w:pPr>
              <w:pStyle w:val="BodyText"/>
              <w:tabs>
                <w:tab w:val="left" w:pos="360"/>
                <w:tab w:val="left" w:pos="540"/>
                <w:tab w:val="left" w:pos="630"/>
                <w:tab w:val="left" w:pos="1080"/>
              </w:tabs>
              <w:ind w:right="-108" w:hanging="108"/>
              <w:jc w:val="center"/>
              <w:rPr>
                <w:sz w:val="20"/>
              </w:rPr>
            </w:pPr>
          </w:p>
        </w:tc>
        <w:tc>
          <w:tcPr>
            <w:tcW w:w="1890" w:type="dxa"/>
            <w:tcBorders>
              <w:left w:val="single" w:sz="4" w:space="0" w:color="auto"/>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jc w:val="center"/>
              <w:rPr>
                <w:sz w:val="20"/>
              </w:rPr>
            </w:pPr>
          </w:p>
        </w:tc>
      </w:tr>
      <w:tr w:rsidR="00EB318F" w:rsidRPr="00176F63">
        <w:tc>
          <w:tcPr>
            <w:tcW w:w="1980" w:type="dxa"/>
            <w:tcBorders>
              <w:right w:val="single" w:sz="4" w:space="0" w:color="auto"/>
            </w:tcBorders>
          </w:tcPr>
          <w:p w:rsidR="00EB318F" w:rsidRPr="00176F63" w:rsidRDefault="00EB318F" w:rsidP="00462395">
            <w:pPr>
              <w:pStyle w:val="BodyText"/>
              <w:tabs>
                <w:tab w:val="left" w:pos="360"/>
                <w:tab w:val="left" w:pos="540"/>
                <w:tab w:val="left" w:pos="630"/>
                <w:tab w:val="left" w:pos="1080"/>
              </w:tabs>
              <w:ind w:left="-108" w:right="-108"/>
              <w:jc w:val="left"/>
              <w:rPr>
                <w:sz w:val="20"/>
              </w:rPr>
            </w:pPr>
            <w:r w:rsidRPr="00176F63">
              <w:rPr>
                <w:sz w:val="20"/>
              </w:rPr>
              <w:t>Weighted average number of ordinary shares in issue  ('000)</w:t>
            </w:r>
          </w:p>
        </w:tc>
        <w:tc>
          <w:tcPr>
            <w:tcW w:w="1170" w:type="dxa"/>
            <w:tcBorders>
              <w:left w:val="single" w:sz="4" w:space="0" w:color="auto"/>
              <w:right w:val="single" w:sz="4" w:space="0" w:color="auto"/>
            </w:tcBorders>
            <w:shd w:val="clear" w:color="auto" w:fill="auto"/>
          </w:tcPr>
          <w:p w:rsidR="00EB318F" w:rsidRPr="00C51A87" w:rsidRDefault="00EB318F" w:rsidP="00A21A4D">
            <w:pPr>
              <w:pStyle w:val="BodyText"/>
              <w:tabs>
                <w:tab w:val="left" w:pos="360"/>
                <w:tab w:val="left" w:pos="540"/>
                <w:tab w:val="left" w:pos="630"/>
                <w:tab w:val="left" w:pos="1080"/>
              </w:tabs>
              <w:ind w:right="-108" w:hanging="108"/>
              <w:jc w:val="center"/>
              <w:rPr>
                <w:sz w:val="20"/>
              </w:rPr>
            </w:pPr>
            <w:r w:rsidRPr="00C51A87">
              <w:rPr>
                <w:sz w:val="20"/>
              </w:rPr>
              <w:t xml:space="preserve"> 570,050</w:t>
            </w:r>
          </w:p>
        </w:tc>
        <w:tc>
          <w:tcPr>
            <w:tcW w:w="1890" w:type="dxa"/>
            <w:tcBorders>
              <w:left w:val="single" w:sz="4" w:space="0" w:color="auto"/>
              <w:right w:val="single" w:sz="4" w:space="0" w:color="auto"/>
            </w:tcBorders>
            <w:shd w:val="clear" w:color="auto" w:fill="auto"/>
          </w:tcPr>
          <w:p w:rsidR="00EB318F" w:rsidRPr="00176F63" w:rsidRDefault="00EB318F" w:rsidP="00A21A4D">
            <w:pPr>
              <w:pStyle w:val="BodyText"/>
              <w:tabs>
                <w:tab w:val="left" w:pos="360"/>
                <w:tab w:val="left" w:pos="540"/>
                <w:tab w:val="left" w:pos="630"/>
                <w:tab w:val="left" w:pos="1080"/>
              </w:tabs>
              <w:ind w:right="-108" w:hanging="108"/>
              <w:jc w:val="center"/>
              <w:rPr>
                <w:sz w:val="20"/>
              </w:rPr>
            </w:pPr>
            <w:r>
              <w:rPr>
                <w:sz w:val="20"/>
              </w:rPr>
              <w:t xml:space="preserve">  </w:t>
            </w:r>
            <w:r w:rsidRPr="00176F63">
              <w:rPr>
                <w:sz w:val="20"/>
              </w:rPr>
              <w:t>570,050</w:t>
            </w:r>
          </w:p>
        </w:tc>
        <w:tc>
          <w:tcPr>
            <w:tcW w:w="1170" w:type="dxa"/>
            <w:tcBorders>
              <w:left w:val="single" w:sz="4" w:space="0" w:color="auto"/>
              <w:right w:val="single" w:sz="4" w:space="0" w:color="auto"/>
            </w:tcBorders>
            <w:shd w:val="clear" w:color="auto" w:fill="auto"/>
          </w:tcPr>
          <w:p w:rsidR="00EB318F" w:rsidRPr="00C51A87" w:rsidRDefault="00EB318F" w:rsidP="00B91CE4">
            <w:pPr>
              <w:pStyle w:val="BodyText"/>
              <w:tabs>
                <w:tab w:val="left" w:pos="360"/>
                <w:tab w:val="left" w:pos="540"/>
                <w:tab w:val="left" w:pos="630"/>
                <w:tab w:val="left" w:pos="1080"/>
              </w:tabs>
              <w:ind w:right="-108" w:hanging="108"/>
              <w:jc w:val="center"/>
              <w:rPr>
                <w:sz w:val="20"/>
              </w:rPr>
            </w:pPr>
            <w:r w:rsidRPr="00C51A87">
              <w:rPr>
                <w:sz w:val="20"/>
              </w:rPr>
              <w:t xml:space="preserve"> 570,050</w:t>
            </w:r>
          </w:p>
        </w:tc>
        <w:tc>
          <w:tcPr>
            <w:tcW w:w="1890" w:type="dxa"/>
            <w:tcBorders>
              <w:left w:val="single" w:sz="4" w:space="0" w:color="auto"/>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jc w:val="center"/>
              <w:rPr>
                <w:sz w:val="20"/>
              </w:rPr>
            </w:pPr>
            <w:r>
              <w:rPr>
                <w:sz w:val="20"/>
              </w:rPr>
              <w:t xml:space="preserve">  </w:t>
            </w:r>
            <w:r w:rsidRPr="00176F63">
              <w:rPr>
                <w:sz w:val="20"/>
              </w:rPr>
              <w:t>570,050</w:t>
            </w:r>
          </w:p>
        </w:tc>
      </w:tr>
      <w:tr w:rsidR="00EB318F" w:rsidRPr="00176F63">
        <w:tc>
          <w:tcPr>
            <w:tcW w:w="1980" w:type="dxa"/>
            <w:tcBorders>
              <w:right w:val="single" w:sz="4" w:space="0" w:color="auto"/>
            </w:tcBorders>
          </w:tcPr>
          <w:p w:rsidR="00EB318F" w:rsidRPr="00176F63" w:rsidRDefault="00EB318F" w:rsidP="00462395">
            <w:pPr>
              <w:pStyle w:val="BodyText"/>
              <w:tabs>
                <w:tab w:val="left" w:pos="360"/>
                <w:tab w:val="left" w:pos="540"/>
                <w:tab w:val="left" w:pos="630"/>
                <w:tab w:val="left" w:pos="1080"/>
              </w:tabs>
              <w:ind w:right="-450" w:hanging="108"/>
              <w:jc w:val="left"/>
              <w:rPr>
                <w:sz w:val="20"/>
              </w:rPr>
            </w:pPr>
          </w:p>
        </w:tc>
        <w:tc>
          <w:tcPr>
            <w:tcW w:w="1170" w:type="dxa"/>
            <w:tcBorders>
              <w:left w:val="single" w:sz="4" w:space="0" w:color="auto"/>
              <w:right w:val="single" w:sz="4" w:space="0" w:color="auto"/>
            </w:tcBorders>
            <w:shd w:val="clear" w:color="auto" w:fill="auto"/>
          </w:tcPr>
          <w:p w:rsidR="00EB318F" w:rsidRPr="00C51A87" w:rsidRDefault="00EB318F" w:rsidP="00A21A4D">
            <w:pPr>
              <w:pStyle w:val="BodyText"/>
              <w:tabs>
                <w:tab w:val="left" w:pos="360"/>
                <w:tab w:val="left" w:pos="540"/>
                <w:tab w:val="left" w:pos="630"/>
                <w:tab w:val="left" w:pos="1080"/>
              </w:tabs>
              <w:ind w:right="-108" w:hanging="108"/>
              <w:jc w:val="center"/>
              <w:rPr>
                <w:sz w:val="20"/>
              </w:rPr>
            </w:pPr>
          </w:p>
        </w:tc>
        <w:tc>
          <w:tcPr>
            <w:tcW w:w="1890" w:type="dxa"/>
            <w:tcBorders>
              <w:left w:val="single" w:sz="4" w:space="0" w:color="auto"/>
              <w:right w:val="single" w:sz="4" w:space="0" w:color="auto"/>
            </w:tcBorders>
            <w:shd w:val="clear" w:color="auto" w:fill="auto"/>
          </w:tcPr>
          <w:p w:rsidR="00EB318F" w:rsidRPr="00176F63" w:rsidRDefault="00EB318F" w:rsidP="00A21A4D">
            <w:pPr>
              <w:pStyle w:val="BodyText"/>
              <w:tabs>
                <w:tab w:val="left" w:pos="360"/>
                <w:tab w:val="left" w:pos="540"/>
                <w:tab w:val="left" w:pos="630"/>
                <w:tab w:val="left" w:pos="1080"/>
              </w:tabs>
              <w:ind w:right="-108" w:hanging="108"/>
              <w:jc w:val="center"/>
              <w:rPr>
                <w:sz w:val="20"/>
              </w:rPr>
            </w:pPr>
          </w:p>
        </w:tc>
        <w:tc>
          <w:tcPr>
            <w:tcW w:w="1170" w:type="dxa"/>
            <w:tcBorders>
              <w:left w:val="single" w:sz="4" w:space="0" w:color="auto"/>
              <w:right w:val="single" w:sz="4" w:space="0" w:color="auto"/>
            </w:tcBorders>
            <w:shd w:val="clear" w:color="auto" w:fill="auto"/>
          </w:tcPr>
          <w:p w:rsidR="00EB318F" w:rsidRPr="00C51A87" w:rsidRDefault="00EB318F" w:rsidP="00B91CE4">
            <w:pPr>
              <w:pStyle w:val="BodyText"/>
              <w:tabs>
                <w:tab w:val="left" w:pos="360"/>
                <w:tab w:val="left" w:pos="540"/>
                <w:tab w:val="left" w:pos="630"/>
                <w:tab w:val="left" w:pos="1080"/>
              </w:tabs>
              <w:ind w:right="-108" w:hanging="108"/>
              <w:jc w:val="center"/>
              <w:rPr>
                <w:sz w:val="20"/>
              </w:rPr>
            </w:pPr>
          </w:p>
        </w:tc>
        <w:tc>
          <w:tcPr>
            <w:tcW w:w="1890" w:type="dxa"/>
            <w:tcBorders>
              <w:left w:val="single" w:sz="4" w:space="0" w:color="auto"/>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jc w:val="center"/>
              <w:rPr>
                <w:sz w:val="20"/>
              </w:rPr>
            </w:pPr>
          </w:p>
        </w:tc>
      </w:tr>
      <w:tr w:rsidR="00EB318F">
        <w:tc>
          <w:tcPr>
            <w:tcW w:w="1980" w:type="dxa"/>
            <w:tcBorders>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rPr>
                <w:sz w:val="20"/>
              </w:rPr>
            </w:pPr>
            <w:r w:rsidRPr="00176F63">
              <w:rPr>
                <w:sz w:val="20"/>
              </w:rPr>
              <w:t>Basic EPS  (</w:t>
            </w:r>
            <w:proofErr w:type="spellStart"/>
            <w:r w:rsidRPr="00176F63">
              <w:rPr>
                <w:sz w:val="20"/>
              </w:rPr>
              <w:t>sen</w:t>
            </w:r>
            <w:proofErr w:type="spellEnd"/>
            <w:r w:rsidRPr="00176F63">
              <w:rPr>
                <w:sz w:val="20"/>
              </w:rPr>
              <w:t>)</w:t>
            </w:r>
          </w:p>
        </w:tc>
        <w:tc>
          <w:tcPr>
            <w:tcW w:w="1170" w:type="dxa"/>
            <w:tcBorders>
              <w:left w:val="single" w:sz="4" w:space="0" w:color="auto"/>
              <w:bottom w:val="single" w:sz="4" w:space="0" w:color="auto"/>
              <w:right w:val="single" w:sz="4" w:space="0" w:color="auto"/>
            </w:tcBorders>
            <w:shd w:val="clear" w:color="auto" w:fill="auto"/>
          </w:tcPr>
          <w:p w:rsidR="00EB318F" w:rsidRPr="00C51A87" w:rsidRDefault="00EB318F" w:rsidP="00A21A4D">
            <w:pPr>
              <w:pStyle w:val="BodyText"/>
              <w:tabs>
                <w:tab w:val="left" w:pos="360"/>
                <w:tab w:val="left" w:pos="540"/>
                <w:tab w:val="left" w:pos="630"/>
                <w:tab w:val="left" w:pos="1080"/>
              </w:tabs>
              <w:ind w:right="-108" w:hanging="108"/>
              <w:jc w:val="center"/>
              <w:rPr>
                <w:sz w:val="20"/>
              </w:rPr>
            </w:pPr>
            <w:r>
              <w:rPr>
                <w:sz w:val="20"/>
              </w:rPr>
              <w:t>1.37</w:t>
            </w:r>
          </w:p>
        </w:tc>
        <w:tc>
          <w:tcPr>
            <w:tcW w:w="1890" w:type="dxa"/>
            <w:tcBorders>
              <w:left w:val="single" w:sz="4" w:space="0" w:color="auto"/>
              <w:bottom w:val="single" w:sz="4" w:space="0" w:color="auto"/>
              <w:right w:val="single" w:sz="4" w:space="0" w:color="auto"/>
            </w:tcBorders>
            <w:shd w:val="clear" w:color="auto" w:fill="auto"/>
          </w:tcPr>
          <w:p w:rsidR="00EB318F" w:rsidRPr="00ED6FE8" w:rsidRDefault="00EB318F" w:rsidP="00A21A4D">
            <w:pPr>
              <w:pStyle w:val="BodyText"/>
              <w:tabs>
                <w:tab w:val="left" w:pos="360"/>
                <w:tab w:val="left" w:pos="540"/>
                <w:tab w:val="left" w:pos="630"/>
                <w:tab w:val="left" w:pos="1080"/>
              </w:tabs>
              <w:ind w:right="-108" w:hanging="108"/>
              <w:jc w:val="center"/>
              <w:rPr>
                <w:sz w:val="20"/>
              </w:rPr>
            </w:pPr>
            <w:r>
              <w:rPr>
                <w:sz w:val="20"/>
              </w:rPr>
              <w:t>6.69</w:t>
            </w:r>
          </w:p>
        </w:tc>
        <w:tc>
          <w:tcPr>
            <w:tcW w:w="1170" w:type="dxa"/>
            <w:tcBorders>
              <w:left w:val="single" w:sz="4" w:space="0" w:color="auto"/>
              <w:bottom w:val="single" w:sz="4" w:space="0" w:color="auto"/>
              <w:right w:val="single" w:sz="4" w:space="0" w:color="auto"/>
            </w:tcBorders>
            <w:shd w:val="clear" w:color="auto" w:fill="auto"/>
          </w:tcPr>
          <w:p w:rsidR="00EB318F" w:rsidRPr="00C51A87" w:rsidRDefault="00EB318F" w:rsidP="00B91CE4">
            <w:pPr>
              <w:pStyle w:val="BodyText"/>
              <w:tabs>
                <w:tab w:val="left" w:pos="360"/>
                <w:tab w:val="left" w:pos="540"/>
                <w:tab w:val="left" w:pos="630"/>
                <w:tab w:val="left" w:pos="1080"/>
              </w:tabs>
              <w:ind w:right="-108" w:hanging="108"/>
              <w:jc w:val="center"/>
              <w:rPr>
                <w:sz w:val="20"/>
              </w:rPr>
            </w:pPr>
            <w:r>
              <w:rPr>
                <w:sz w:val="20"/>
              </w:rPr>
              <w:t>1.37</w:t>
            </w:r>
          </w:p>
        </w:tc>
        <w:tc>
          <w:tcPr>
            <w:tcW w:w="1890" w:type="dxa"/>
            <w:tcBorders>
              <w:left w:val="single" w:sz="4" w:space="0" w:color="auto"/>
              <w:bottom w:val="single" w:sz="4" w:space="0" w:color="auto"/>
              <w:right w:val="single" w:sz="4" w:space="0" w:color="auto"/>
            </w:tcBorders>
          </w:tcPr>
          <w:p w:rsidR="00EB318F" w:rsidRPr="00ED6FE8" w:rsidRDefault="00EB318F" w:rsidP="00286C92">
            <w:pPr>
              <w:pStyle w:val="BodyText"/>
              <w:tabs>
                <w:tab w:val="left" w:pos="360"/>
                <w:tab w:val="left" w:pos="540"/>
                <w:tab w:val="left" w:pos="630"/>
                <w:tab w:val="left" w:pos="1080"/>
              </w:tabs>
              <w:ind w:right="-108" w:hanging="108"/>
              <w:jc w:val="center"/>
              <w:rPr>
                <w:sz w:val="20"/>
              </w:rPr>
            </w:pPr>
            <w:r>
              <w:rPr>
                <w:sz w:val="20"/>
              </w:rPr>
              <w:t>6.69</w:t>
            </w:r>
          </w:p>
        </w:tc>
      </w:tr>
    </w:tbl>
    <w:p w:rsidR="00ED6FE8" w:rsidRDefault="00462395" w:rsidP="00491580">
      <w:pPr>
        <w:pStyle w:val="BodyText"/>
        <w:tabs>
          <w:tab w:val="left" w:pos="540"/>
          <w:tab w:val="left" w:pos="630"/>
          <w:tab w:val="left" w:pos="990"/>
        </w:tabs>
        <w:ind w:left="720" w:right="-450" w:hanging="1800"/>
        <w:rPr>
          <w:b/>
          <w:sz w:val="20"/>
        </w:rPr>
      </w:pPr>
      <w:r>
        <w:rPr>
          <w:b/>
          <w:sz w:val="20"/>
        </w:rPr>
        <w:tab/>
      </w:r>
    </w:p>
    <w:p w:rsidR="002C01D9" w:rsidRDefault="002C01D9" w:rsidP="00491580">
      <w:pPr>
        <w:pStyle w:val="BodyText"/>
        <w:tabs>
          <w:tab w:val="left" w:pos="540"/>
          <w:tab w:val="left" w:pos="630"/>
          <w:tab w:val="left" w:pos="990"/>
        </w:tabs>
        <w:ind w:left="720" w:right="-450" w:hanging="1800"/>
        <w:rPr>
          <w:b/>
          <w:sz w:val="20"/>
        </w:rPr>
      </w:pPr>
    </w:p>
    <w:p w:rsidR="002C01D9" w:rsidRDefault="002C01D9" w:rsidP="00491580">
      <w:pPr>
        <w:pStyle w:val="BodyText"/>
        <w:tabs>
          <w:tab w:val="left" w:pos="540"/>
          <w:tab w:val="left" w:pos="630"/>
          <w:tab w:val="left" w:pos="990"/>
        </w:tabs>
        <w:ind w:left="720" w:right="-450" w:hanging="1800"/>
        <w:rPr>
          <w:b/>
          <w:sz w:val="20"/>
        </w:rPr>
      </w:pPr>
    </w:p>
    <w:p w:rsidR="002C01D9" w:rsidRDefault="002C01D9" w:rsidP="00491580">
      <w:pPr>
        <w:pStyle w:val="BodyText"/>
        <w:tabs>
          <w:tab w:val="left" w:pos="540"/>
          <w:tab w:val="left" w:pos="630"/>
          <w:tab w:val="left" w:pos="990"/>
        </w:tabs>
        <w:ind w:left="720" w:right="-450" w:hanging="1800"/>
        <w:rPr>
          <w:b/>
          <w:sz w:val="20"/>
        </w:rPr>
      </w:pPr>
    </w:p>
    <w:p w:rsidR="002C01D9" w:rsidRDefault="002C01D9" w:rsidP="00491580">
      <w:pPr>
        <w:pStyle w:val="BodyText"/>
        <w:tabs>
          <w:tab w:val="left" w:pos="540"/>
          <w:tab w:val="left" w:pos="630"/>
          <w:tab w:val="left" w:pos="990"/>
        </w:tabs>
        <w:ind w:left="720" w:right="-450" w:hanging="1800"/>
        <w:rPr>
          <w:b/>
          <w:sz w:val="20"/>
        </w:rPr>
      </w:pPr>
    </w:p>
    <w:p w:rsidR="002C01D9" w:rsidRDefault="002C01D9" w:rsidP="00491580">
      <w:pPr>
        <w:pStyle w:val="BodyText"/>
        <w:tabs>
          <w:tab w:val="left" w:pos="540"/>
          <w:tab w:val="left" w:pos="630"/>
          <w:tab w:val="left" w:pos="990"/>
        </w:tabs>
        <w:ind w:left="720" w:right="-450" w:hanging="1800"/>
        <w:rPr>
          <w:b/>
          <w:sz w:val="20"/>
        </w:rPr>
      </w:pPr>
    </w:p>
    <w:p w:rsidR="002C01D9" w:rsidRDefault="002C01D9" w:rsidP="00491580">
      <w:pPr>
        <w:pStyle w:val="BodyText"/>
        <w:tabs>
          <w:tab w:val="left" w:pos="540"/>
          <w:tab w:val="left" w:pos="630"/>
          <w:tab w:val="left" w:pos="990"/>
        </w:tabs>
        <w:ind w:left="720" w:right="-450" w:hanging="1800"/>
        <w:rPr>
          <w:b/>
          <w:sz w:val="20"/>
        </w:rPr>
      </w:pPr>
    </w:p>
    <w:p w:rsidR="002C01D9" w:rsidRDefault="002C01D9" w:rsidP="00491580">
      <w:pPr>
        <w:pStyle w:val="BodyText"/>
        <w:tabs>
          <w:tab w:val="left" w:pos="540"/>
          <w:tab w:val="left" w:pos="630"/>
          <w:tab w:val="left" w:pos="990"/>
        </w:tabs>
        <w:ind w:left="720" w:right="-450" w:hanging="1800"/>
        <w:rPr>
          <w:b/>
          <w:sz w:val="20"/>
        </w:rPr>
      </w:pPr>
    </w:p>
    <w:p w:rsidR="002C01D9" w:rsidRDefault="002C01D9" w:rsidP="00491580">
      <w:pPr>
        <w:pStyle w:val="BodyText"/>
        <w:tabs>
          <w:tab w:val="left" w:pos="540"/>
          <w:tab w:val="left" w:pos="630"/>
          <w:tab w:val="left" w:pos="990"/>
        </w:tabs>
        <w:ind w:left="720" w:right="-450" w:hanging="1800"/>
        <w:rPr>
          <w:b/>
          <w:sz w:val="20"/>
        </w:rPr>
      </w:pPr>
    </w:p>
    <w:p w:rsidR="002C01D9" w:rsidRDefault="002C01D9" w:rsidP="00491580">
      <w:pPr>
        <w:pStyle w:val="BodyText"/>
        <w:tabs>
          <w:tab w:val="left" w:pos="540"/>
          <w:tab w:val="left" w:pos="630"/>
          <w:tab w:val="left" w:pos="990"/>
        </w:tabs>
        <w:ind w:left="720" w:right="-450" w:hanging="1800"/>
        <w:rPr>
          <w:b/>
          <w:sz w:val="20"/>
        </w:rPr>
      </w:pPr>
    </w:p>
    <w:p w:rsidR="0059386B" w:rsidRPr="002E0140" w:rsidRDefault="00462395" w:rsidP="00491580">
      <w:pPr>
        <w:pStyle w:val="BodyText"/>
        <w:tabs>
          <w:tab w:val="left" w:pos="540"/>
          <w:tab w:val="left" w:pos="630"/>
          <w:tab w:val="left" w:pos="990"/>
        </w:tabs>
        <w:ind w:left="720" w:right="-450" w:hanging="1800"/>
        <w:rPr>
          <w:sz w:val="20"/>
        </w:rPr>
      </w:pPr>
      <w:r>
        <w:rPr>
          <w:b/>
          <w:sz w:val="20"/>
        </w:rPr>
        <w:tab/>
      </w:r>
      <w:r w:rsidR="006319B0">
        <w:rPr>
          <w:b/>
          <w:sz w:val="20"/>
        </w:rPr>
        <w:t xml:space="preserve">(b) </w:t>
      </w:r>
      <w:r w:rsidR="0059386B">
        <w:rPr>
          <w:b/>
          <w:sz w:val="20"/>
        </w:rPr>
        <w:t xml:space="preserve"> </w:t>
      </w:r>
      <w:r>
        <w:rPr>
          <w:b/>
          <w:sz w:val="20"/>
        </w:rPr>
        <w:tab/>
      </w:r>
      <w:r w:rsidR="007830AB">
        <w:rPr>
          <w:b/>
          <w:sz w:val="20"/>
        </w:rPr>
        <w:t xml:space="preserve">  </w:t>
      </w:r>
      <w:r w:rsidR="0059386B">
        <w:rPr>
          <w:b/>
          <w:sz w:val="20"/>
        </w:rPr>
        <w:t>Diluted</w:t>
      </w:r>
    </w:p>
    <w:p w:rsidR="001079BE" w:rsidRDefault="001079BE" w:rsidP="00491580">
      <w:pPr>
        <w:pStyle w:val="BodyText"/>
        <w:tabs>
          <w:tab w:val="left" w:pos="540"/>
          <w:tab w:val="left" w:pos="630"/>
          <w:tab w:val="left" w:pos="1080"/>
        </w:tabs>
        <w:ind w:left="1080" w:right="-450" w:hanging="1800"/>
        <w:rPr>
          <w:sz w:val="20"/>
        </w:rPr>
      </w:pPr>
    </w:p>
    <w:p w:rsidR="0059386B" w:rsidRDefault="00462395" w:rsidP="00B13259">
      <w:pPr>
        <w:pStyle w:val="BodyText"/>
        <w:tabs>
          <w:tab w:val="left" w:pos="540"/>
          <w:tab w:val="left" w:pos="630"/>
          <w:tab w:val="left" w:pos="1080"/>
        </w:tabs>
        <w:ind w:left="1080" w:right="270" w:hanging="90"/>
        <w:rPr>
          <w:sz w:val="20"/>
        </w:rPr>
      </w:pPr>
      <w:r>
        <w:rPr>
          <w:sz w:val="20"/>
        </w:rPr>
        <w:tab/>
      </w:r>
      <w:r w:rsidR="0059386B">
        <w:rPr>
          <w:sz w:val="20"/>
        </w:rPr>
        <w:t xml:space="preserve">For the purpose of calculating the diluted earnings per share, the net profit for the </w:t>
      </w:r>
      <w:r w:rsidR="00D32291">
        <w:rPr>
          <w:sz w:val="20"/>
        </w:rPr>
        <w:t>periods under review</w:t>
      </w:r>
      <w:r w:rsidR="0059386B">
        <w:rPr>
          <w:sz w:val="20"/>
        </w:rPr>
        <w:t xml:space="preserve"> and the weighted average number of ordinary shares in issue during the </w:t>
      </w:r>
      <w:r w:rsidR="00D32291">
        <w:rPr>
          <w:sz w:val="20"/>
        </w:rPr>
        <w:t>same periods</w:t>
      </w:r>
      <w:r w:rsidR="0059386B">
        <w:rPr>
          <w:sz w:val="20"/>
        </w:rPr>
        <w:t xml:space="preserve"> have been adjusted for the dilutive effects of the potential </w:t>
      </w:r>
      <w:r w:rsidR="00652A1E">
        <w:rPr>
          <w:sz w:val="20"/>
        </w:rPr>
        <w:t xml:space="preserve">issue of new </w:t>
      </w:r>
      <w:r w:rsidR="0059386B">
        <w:rPr>
          <w:sz w:val="20"/>
        </w:rPr>
        <w:t xml:space="preserve">ordinary shares </w:t>
      </w:r>
      <w:r w:rsidR="00652A1E">
        <w:rPr>
          <w:sz w:val="20"/>
        </w:rPr>
        <w:t>on</w:t>
      </w:r>
      <w:r w:rsidR="0059386B">
        <w:rPr>
          <w:sz w:val="20"/>
        </w:rPr>
        <w:t xml:space="preserve"> conversion of the RCSLS</w:t>
      </w:r>
      <w:r w:rsidR="00B46406">
        <w:rPr>
          <w:sz w:val="20"/>
        </w:rPr>
        <w:t>.</w:t>
      </w:r>
      <w:r w:rsidR="0059386B">
        <w:rPr>
          <w:sz w:val="20"/>
        </w:rPr>
        <w:t xml:space="preserve"> </w:t>
      </w:r>
    </w:p>
    <w:p w:rsidR="00BC67B6" w:rsidRDefault="00BC67B6" w:rsidP="00B13259">
      <w:pPr>
        <w:pStyle w:val="BodyText"/>
        <w:tabs>
          <w:tab w:val="left" w:pos="540"/>
          <w:tab w:val="left" w:pos="630"/>
          <w:tab w:val="left" w:pos="1080"/>
        </w:tabs>
        <w:ind w:left="1080" w:right="270" w:hanging="90"/>
        <w:rPr>
          <w:sz w:val="20"/>
        </w:rPr>
      </w:pPr>
    </w:p>
    <w:p w:rsidR="00BC67B6" w:rsidRDefault="00BC67B6" w:rsidP="00B13259">
      <w:pPr>
        <w:pStyle w:val="BodyText"/>
        <w:tabs>
          <w:tab w:val="left" w:pos="540"/>
          <w:tab w:val="left" w:pos="630"/>
          <w:tab w:val="left" w:pos="1080"/>
        </w:tabs>
        <w:ind w:left="1080" w:right="270" w:hanging="90"/>
        <w:rPr>
          <w:sz w:val="20"/>
        </w:rPr>
      </w:pPr>
    </w:p>
    <w:tbl>
      <w:tblPr>
        <w:tblW w:w="8100" w:type="dxa"/>
        <w:tblInd w:w="1098" w:type="dxa"/>
        <w:tblLayout w:type="fixed"/>
        <w:tblLook w:val="0000"/>
      </w:tblPr>
      <w:tblGrid>
        <w:gridCol w:w="2070"/>
        <w:gridCol w:w="1170"/>
        <w:gridCol w:w="1890"/>
        <w:gridCol w:w="1170"/>
        <w:gridCol w:w="1800"/>
      </w:tblGrid>
      <w:tr w:rsidR="0059386B">
        <w:trPr>
          <w:cantSplit/>
        </w:trPr>
        <w:tc>
          <w:tcPr>
            <w:tcW w:w="2070" w:type="dxa"/>
          </w:tcPr>
          <w:p w:rsidR="0059386B" w:rsidRDefault="0059386B" w:rsidP="00491580">
            <w:pPr>
              <w:pStyle w:val="BodyText"/>
              <w:tabs>
                <w:tab w:val="left" w:pos="360"/>
                <w:tab w:val="left" w:pos="540"/>
                <w:tab w:val="left" w:pos="630"/>
                <w:tab w:val="left" w:pos="1080"/>
              </w:tabs>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59386B" w:rsidRDefault="0059386B" w:rsidP="00462395">
            <w:pPr>
              <w:pStyle w:val="BodyText"/>
              <w:tabs>
                <w:tab w:val="left" w:pos="360"/>
                <w:tab w:val="left" w:pos="540"/>
                <w:tab w:val="left" w:pos="630"/>
                <w:tab w:val="left" w:pos="1080"/>
              </w:tabs>
              <w:ind w:right="-450" w:hanging="108"/>
              <w:jc w:val="center"/>
              <w:rPr>
                <w:b/>
                <w:sz w:val="18"/>
              </w:rPr>
            </w:pPr>
            <w:r>
              <w:rPr>
                <w:b/>
                <w:sz w:val="18"/>
              </w:rPr>
              <w:t>INDIVIDUAL QUARTER</w:t>
            </w:r>
          </w:p>
        </w:tc>
        <w:tc>
          <w:tcPr>
            <w:tcW w:w="2970" w:type="dxa"/>
            <w:gridSpan w:val="2"/>
            <w:tcBorders>
              <w:top w:val="single" w:sz="4" w:space="0" w:color="auto"/>
              <w:left w:val="nil"/>
              <w:bottom w:val="single" w:sz="4" w:space="0" w:color="auto"/>
              <w:right w:val="single" w:sz="4" w:space="0" w:color="auto"/>
            </w:tcBorders>
          </w:tcPr>
          <w:p w:rsidR="0059386B" w:rsidRDefault="0059386B" w:rsidP="00462395">
            <w:pPr>
              <w:pStyle w:val="BodyText"/>
              <w:tabs>
                <w:tab w:val="left" w:pos="360"/>
                <w:tab w:val="left" w:pos="540"/>
                <w:tab w:val="left" w:pos="630"/>
                <w:tab w:val="left" w:pos="1080"/>
              </w:tabs>
              <w:ind w:right="-450" w:hanging="108"/>
              <w:jc w:val="center"/>
              <w:rPr>
                <w:b/>
                <w:sz w:val="18"/>
              </w:rPr>
            </w:pPr>
            <w:r>
              <w:rPr>
                <w:b/>
                <w:sz w:val="18"/>
              </w:rPr>
              <w:t>CUMULATIVE QUARTER</w:t>
            </w:r>
          </w:p>
        </w:tc>
      </w:tr>
      <w:tr w:rsidR="00EB318F">
        <w:tc>
          <w:tcPr>
            <w:tcW w:w="2070" w:type="dxa"/>
          </w:tcPr>
          <w:p w:rsidR="00EB318F" w:rsidRDefault="00EB318F" w:rsidP="00491580">
            <w:pPr>
              <w:pStyle w:val="BodyText"/>
              <w:tabs>
                <w:tab w:val="left" w:pos="360"/>
                <w:tab w:val="left" w:pos="540"/>
                <w:tab w:val="left" w:pos="630"/>
                <w:tab w:val="left" w:pos="1080"/>
              </w:tabs>
              <w:ind w:right="-450" w:hanging="1800"/>
              <w:rPr>
                <w:sz w:val="20"/>
              </w:rPr>
            </w:pPr>
          </w:p>
        </w:tc>
        <w:tc>
          <w:tcPr>
            <w:tcW w:w="1170" w:type="dxa"/>
            <w:tcBorders>
              <w:left w:val="single" w:sz="4" w:space="0" w:color="auto"/>
              <w:bottom w:val="single" w:sz="4" w:space="0" w:color="auto"/>
            </w:tcBorders>
          </w:tcPr>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CURRENT</w:t>
            </w:r>
          </w:p>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YEAR</w:t>
            </w:r>
          </w:p>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QUARTER</w:t>
            </w:r>
          </w:p>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31/3/2011</w:t>
            </w:r>
          </w:p>
        </w:tc>
        <w:tc>
          <w:tcPr>
            <w:tcW w:w="1890" w:type="dxa"/>
            <w:tcBorders>
              <w:top w:val="single" w:sz="4" w:space="0" w:color="auto"/>
              <w:left w:val="single" w:sz="4" w:space="0" w:color="auto"/>
              <w:bottom w:val="single" w:sz="4" w:space="0" w:color="auto"/>
              <w:right w:val="single" w:sz="4" w:space="0" w:color="auto"/>
            </w:tcBorders>
          </w:tcPr>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PRECEDING YEAR</w:t>
            </w:r>
          </w:p>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CORRESPONDING</w:t>
            </w:r>
          </w:p>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QUARTER</w:t>
            </w:r>
          </w:p>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31/3/2010</w:t>
            </w:r>
          </w:p>
        </w:tc>
        <w:tc>
          <w:tcPr>
            <w:tcW w:w="1170" w:type="dxa"/>
            <w:tcBorders>
              <w:top w:val="single" w:sz="4" w:space="0" w:color="auto"/>
              <w:left w:val="single" w:sz="4" w:space="0" w:color="auto"/>
              <w:bottom w:val="single" w:sz="4" w:space="0" w:color="auto"/>
              <w:right w:val="single" w:sz="4" w:space="0" w:color="auto"/>
            </w:tcBorders>
          </w:tcPr>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CURRENT</w:t>
            </w:r>
          </w:p>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YEAR TO DATE</w:t>
            </w:r>
          </w:p>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31/3/2011</w:t>
            </w:r>
          </w:p>
        </w:tc>
        <w:tc>
          <w:tcPr>
            <w:tcW w:w="1800" w:type="dxa"/>
            <w:tcBorders>
              <w:left w:val="nil"/>
              <w:bottom w:val="single" w:sz="4" w:space="0" w:color="auto"/>
              <w:right w:val="single" w:sz="4" w:space="0" w:color="auto"/>
            </w:tcBorders>
          </w:tcPr>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PRECEDING YEAR</w:t>
            </w:r>
          </w:p>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CORRESPONDING</w:t>
            </w:r>
          </w:p>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PERIOD</w:t>
            </w:r>
          </w:p>
          <w:p w:rsidR="00EB318F" w:rsidRDefault="00EB318F" w:rsidP="00A21A4D">
            <w:pPr>
              <w:pStyle w:val="BodyText"/>
              <w:tabs>
                <w:tab w:val="left" w:pos="360"/>
                <w:tab w:val="left" w:pos="540"/>
                <w:tab w:val="left" w:pos="702"/>
                <w:tab w:val="left" w:pos="1080"/>
              </w:tabs>
              <w:ind w:right="-108" w:hanging="108"/>
              <w:jc w:val="center"/>
              <w:rPr>
                <w:b/>
                <w:sz w:val="18"/>
              </w:rPr>
            </w:pPr>
            <w:r>
              <w:rPr>
                <w:b/>
                <w:sz w:val="18"/>
              </w:rPr>
              <w:t>31/3/2010</w:t>
            </w:r>
          </w:p>
        </w:tc>
      </w:tr>
      <w:tr w:rsidR="0059386B">
        <w:tc>
          <w:tcPr>
            <w:tcW w:w="2070" w:type="dxa"/>
            <w:tcBorders>
              <w:right w:val="single" w:sz="4" w:space="0" w:color="auto"/>
            </w:tcBorders>
          </w:tcPr>
          <w:p w:rsidR="0059386B" w:rsidRDefault="0059386B" w:rsidP="00491580">
            <w:pPr>
              <w:pStyle w:val="BodyText"/>
              <w:tabs>
                <w:tab w:val="left" w:pos="360"/>
                <w:tab w:val="left" w:pos="540"/>
                <w:tab w:val="left" w:pos="630"/>
                <w:tab w:val="left" w:pos="1080"/>
              </w:tabs>
              <w:ind w:right="-450" w:hanging="1800"/>
              <w:rPr>
                <w:sz w:val="20"/>
              </w:rPr>
            </w:pPr>
          </w:p>
        </w:tc>
        <w:tc>
          <w:tcPr>
            <w:tcW w:w="117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89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17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80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r>
      <w:tr w:rsidR="002C3299" w:rsidTr="006E5F03">
        <w:tc>
          <w:tcPr>
            <w:tcW w:w="2070" w:type="dxa"/>
            <w:tcBorders>
              <w:right w:val="single" w:sz="4" w:space="0" w:color="auto"/>
            </w:tcBorders>
          </w:tcPr>
          <w:p w:rsidR="002C3299" w:rsidRDefault="002C3299" w:rsidP="006E5F03">
            <w:pPr>
              <w:pStyle w:val="BodyText"/>
              <w:tabs>
                <w:tab w:val="left" w:pos="360"/>
                <w:tab w:val="left" w:pos="540"/>
                <w:tab w:val="left" w:pos="630"/>
                <w:tab w:val="left" w:pos="1080"/>
              </w:tabs>
              <w:ind w:left="-108" w:right="-450" w:hanging="1800"/>
              <w:jc w:val="left"/>
              <w:rPr>
                <w:sz w:val="20"/>
              </w:rPr>
            </w:pPr>
            <w:r>
              <w:rPr>
                <w:sz w:val="20"/>
              </w:rPr>
              <w:t>Net profit (RM'000)    Net profit (RM’000)</w:t>
            </w:r>
          </w:p>
        </w:tc>
        <w:tc>
          <w:tcPr>
            <w:tcW w:w="1170" w:type="dxa"/>
            <w:tcBorders>
              <w:left w:val="single" w:sz="4" w:space="0" w:color="auto"/>
              <w:right w:val="single" w:sz="4" w:space="0" w:color="auto"/>
            </w:tcBorders>
            <w:shd w:val="clear" w:color="auto" w:fill="auto"/>
          </w:tcPr>
          <w:p w:rsidR="002C3299" w:rsidRPr="00C51A87" w:rsidRDefault="002C3299" w:rsidP="00A21A4D">
            <w:pPr>
              <w:pStyle w:val="BodyText"/>
              <w:tabs>
                <w:tab w:val="left" w:pos="360"/>
                <w:tab w:val="left" w:pos="540"/>
                <w:tab w:val="left" w:pos="630"/>
                <w:tab w:val="left" w:pos="1080"/>
              </w:tabs>
              <w:ind w:right="-108" w:hanging="108"/>
              <w:jc w:val="center"/>
              <w:rPr>
                <w:sz w:val="20"/>
              </w:rPr>
            </w:pPr>
            <w:r w:rsidRPr="00C51A87">
              <w:rPr>
                <w:sz w:val="20"/>
              </w:rPr>
              <w:t xml:space="preserve"> </w:t>
            </w:r>
            <w:r>
              <w:rPr>
                <w:sz w:val="20"/>
              </w:rPr>
              <w:t xml:space="preserve"> </w:t>
            </w:r>
            <w:r w:rsidRPr="00C51A87">
              <w:rPr>
                <w:sz w:val="20"/>
              </w:rPr>
              <w:t xml:space="preserve">  </w:t>
            </w:r>
            <w:r>
              <w:rPr>
                <w:sz w:val="20"/>
              </w:rPr>
              <w:t>7,825</w:t>
            </w:r>
          </w:p>
        </w:tc>
        <w:tc>
          <w:tcPr>
            <w:tcW w:w="1890" w:type="dxa"/>
            <w:tcBorders>
              <w:left w:val="single" w:sz="4" w:space="0" w:color="auto"/>
              <w:right w:val="single" w:sz="4" w:space="0" w:color="auto"/>
            </w:tcBorders>
            <w:shd w:val="clear" w:color="auto" w:fill="auto"/>
          </w:tcPr>
          <w:p w:rsidR="002C3299" w:rsidRPr="00ED6FE8" w:rsidRDefault="002C3299" w:rsidP="00A21A4D">
            <w:pPr>
              <w:pStyle w:val="BodyText"/>
              <w:tabs>
                <w:tab w:val="left" w:pos="360"/>
                <w:tab w:val="left" w:pos="540"/>
                <w:tab w:val="left" w:pos="630"/>
                <w:tab w:val="left" w:pos="1080"/>
              </w:tabs>
              <w:ind w:right="-108" w:hanging="108"/>
              <w:jc w:val="center"/>
              <w:rPr>
                <w:sz w:val="20"/>
              </w:rPr>
            </w:pPr>
            <w:r>
              <w:rPr>
                <w:sz w:val="20"/>
              </w:rPr>
              <w:t xml:space="preserve">  38,163</w:t>
            </w:r>
          </w:p>
        </w:tc>
        <w:tc>
          <w:tcPr>
            <w:tcW w:w="1170" w:type="dxa"/>
            <w:tcBorders>
              <w:left w:val="single" w:sz="4" w:space="0" w:color="auto"/>
              <w:right w:val="single" w:sz="4" w:space="0" w:color="auto"/>
            </w:tcBorders>
            <w:shd w:val="clear" w:color="auto" w:fill="auto"/>
          </w:tcPr>
          <w:p w:rsidR="002C3299" w:rsidRPr="00C51A87" w:rsidRDefault="002C3299" w:rsidP="007A6B89">
            <w:pPr>
              <w:pStyle w:val="BodyText"/>
              <w:tabs>
                <w:tab w:val="left" w:pos="360"/>
                <w:tab w:val="left" w:pos="540"/>
                <w:tab w:val="left" w:pos="630"/>
                <w:tab w:val="left" w:pos="1080"/>
              </w:tabs>
              <w:ind w:right="-108" w:hanging="108"/>
              <w:jc w:val="center"/>
              <w:rPr>
                <w:sz w:val="20"/>
              </w:rPr>
            </w:pPr>
            <w:r w:rsidRPr="00C51A87">
              <w:rPr>
                <w:sz w:val="20"/>
              </w:rPr>
              <w:t xml:space="preserve"> </w:t>
            </w:r>
            <w:r>
              <w:rPr>
                <w:sz w:val="20"/>
              </w:rPr>
              <w:t xml:space="preserve"> </w:t>
            </w:r>
            <w:r w:rsidRPr="00C51A87">
              <w:rPr>
                <w:sz w:val="20"/>
              </w:rPr>
              <w:t xml:space="preserve">  </w:t>
            </w:r>
            <w:r>
              <w:rPr>
                <w:sz w:val="20"/>
              </w:rPr>
              <w:t>7,825</w:t>
            </w:r>
          </w:p>
        </w:tc>
        <w:tc>
          <w:tcPr>
            <w:tcW w:w="1800" w:type="dxa"/>
            <w:tcBorders>
              <w:left w:val="single" w:sz="4" w:space="0" w:color="auto"/>
              <w:right w:val="single" w:sz="4" w:space="0" w:color="auto"/>
            </w:tcBorders>
          </w:tcPr>
          <w:p w:rsidR="002C3299" w:rsidRPr="00ED6FE8" w:rsidRDefault="002C3299" w:rsidP="007A6B89">
            <w:pPr>
              <w:pStyle w:val="BodyText"/>
              <w:tabs>
                <w:tab w:val="left" w:pos="360"/>
                <w:tab w:val="left" w:pos="540"/>
                <w:tab w:val="left" w:pos="630"/>
                <w:tab w:val="left" w:pos="1080"/>
              </w:tabs>
              <w:ind w:right="-108" w:hanging="108"/>
              <w:jc w:val="center"/>
              <w:rPr>
                <w:sz w:val="20"/>
              </w:rPr>
            </w:pPr>
            <w:r>
              <w:rPr>
                <w:sz w:val="20"/>
              </w:rPr>
              <w:t xml:space="preserve">  38,163</w:t>
            </w:r>
          </w:p>
        </w:tc>
      </w:tr>
      <w:tr w:rsidR="002C3299">
        <w:tc>
          <w:tcPr>
            <w:tcW w:w="2070" w:type="dxa"/>
            <w:tcBorders>
              <w:right w:val="single" w:sz="4" w:space="0" w:color="auto"/>
            </w:tcBorders>
          </w:tcPr>
          <w:p w:rsidR="002C3299" w:rsidRDefault="002C3299" w:rsidP="00491580">
            <w:pPr>
              <w:pStyle w:val="BodyText"/>
              <w:tabs>
                <w:tab w:val="left" w:pos="360"/>
                <w:tab w:val="left" w:pos="540"/>
                <w:tab w:val="left" w:pos="630"/>
                <w:tab w:val="left" w:pos="1080"/>
              </w:tabs>
              <w:ind w:right="-450" w:hanging="1800"/>
              <w:jc w:val="left"/>
              <w:rPr>
                <w:sz w:val="20"/>
              </w:rPr>
            </w:pPr>
          </w:p>
        </w:tc>
        <w:tc>
          <w:tcPr>
            <w:tcW w:w="1170" w:type="dxa"/>
            <w:tcBorders>
              <w:left w:val="single" w:sz="4" w:space="0" w:color="auto"/>
              <w:right w:val="single" w:sz="4" w:space="0" w:color="auto"/>
            </w:tcBorders>
            <w:shd w:val="clear" w:color="auto" w:fill="auto"/>
          </w:tcPr>
          <w:p w:rsidR="002C3299" w:rsidRPr="009E39CB" w:rsidRDefault="002C3299" w:rsidP="00491580">
            <w:pPr>
              <w:pStyle w:val="BodyText"/>
              <w:tabs>
                <w:tab w:val="left" w:pos="360"/>
                <w:tab w:val="left" w:pos="540"/>
                <w:tab w:val="left" w:pos="630"/>
                <w:tab w:val="left" w:pos="1080"/>
              </w:tabs>
              <w:ind w:right="-450" w:hanging="1800"/>
              <w:jc w:val="right"/>
              <w:rPr>
                <w:sz w:val="20"/>
                <w:highlight w:val="yellow"/>
              </w:rPr>
            </w:pPr>
          </w:p>
        </w:tc>
        <w:tc>
          <w:tcPr>
            <w:tcW w:w="1890" w:type="dxa"/>
            <w:tcBorders>
              <w:left w:val="single" w:sz="4" w:space="0" w:color="auto"/>
              <w:right w:val="single" w:sz="4" w:space="0" w:color="auto"/>
            </w:tcBorders>
            <w:shd w:val="clear" w:color="auto" w:fill="auto"/>
          </w:tcPr>
          <w:p w:rsidR="002C3299" w:rsidRDefault="002C3299" w:rsidP="00286C92">
            <w:pPr>
              <w:pStyle w:val="BodyText"/>
              <w:tabs>
                <w:tab w:val="left" w:pos="360"/>
                <w:tab w:val="left" w:pos="540"/>
                <w:tab w:val="left" w:pos="630"/>
                <w:tab w:val="left" w:pos="1080"/>
              </w:tabs>
              <w:ind w:right="-450" w:hanging="1800"/>
              <w:jc w:val="right"/>
              <w:rPr>
                <w:sz w:val="20"/>
              </w:rPr>
            </w:pPr>
          </w:p>
        </w:tc>
        <w:tc>
          <w:tcPr>
            <w:tcW w:w="1170" w:type="dxa"/>
            <w:tcBorders>
              <w:left w:val="single" w:sz="4" w:space="0" w:color="auto"/>
              <w:right w:val="single" w:sz="4" w:space="0" w:color="auto"/>
            </w:tcBorders>
            <w:shd w:val="clear" w:color="auto" w:fill="auto"/>
          </w:tcPr>
          <w:p w:rsidR="002C3299" w:rsidRPr="009E39CB" w:rsidRDefault="002C3299" w:rsidP="007A6B89">
            <w:pPr>
              <w:pStyle w:val="BodyText"/>
              <w:tabs>
                <w:tab w:val="left" w:pos="360"/>
                <w:tab w:val="left" w:pos="540"/>
                <w:tab w:val="left" w:pos="630"/>
                <w:tab w:val="left" w:pos="1080"/>
              </w:tabs>
              <w:ind w:right="-450" w:hanging="1800"/>
              <w:jc w:val="right"/>
              <w:rPr>
                <w:sz w:val="20"/>
                <w:highlight w:val="yellow"/>
              </w:rPr>
            </w:pPr>
          </w:p>
        </w:tc>
        <w:tc>
          <w:tcPr>
            <w:tcW w:w="1800" w:type="dxa"/>
            <w:tcBorders>
              <w:left w:val="single" w:sz="4" w:space="0" w:color="auto"/>
              <w:right w:val="single" w:sz="4" w:space="0" w:color="auto"/>
            </w:tcBorders>
          </w:tcPr>
          <w:p w:rsidR="002C3299" w:rsidRDefault="002C3299" w:rsidP="007A6B89">
            <w:pPr>
              <w:pStyle w:val="BodyText"/>
              <w:tabs>
                <w:tab w:val="left" w:pos="360"/>
                <w:tab w:val="left" w:pos="540"/>
                <w:tab w:val="left" w:pos="630"/>
                <w:tab w:val="left" w:pos="1080"/>
              </w:tabs>
              <w:ind w:right="-450" w:hanging="1800"/>
              <w:jc w:val="right"/>
              <w:rPr>
                <w:sz w:val="20"/>
              </w:rPr>
            </w:pPr>
          </w:p>
        </w:tc>
      </w:tr>
      <w:tr w:rsidR="002C3299">
        <w:trPr>
          <w:trHeight w:val="693"/>
        </w:trPr>
        <w:tc>
          <w:tcPr>
            <w:tcW w:w="2070" w:type="dxa"/>
            <w:tcBorders>
              <w:right w:val="single" w:sz="4" w:space="0" w:color="auto"/>
            </w:tcBorders>
          </w:tcPr>
          <w:p w:rsidR="002C3299" w:rsidRDefault="002C3299" w:rsidP="00462395">
            <w:pPr>
              <w:pStyle w:val="BodyText"/>
              <w:tabs>
                <w:tab w:val="left" w:pos="360"/>
                <w:tab w:val="left" w:pos="540"/>
                <w:tab w:val="left" w:pos="630"/>
                <w:tab w:val="left" w:pos="1080"/>
              </w:tabs>
              <w:ind w:left="-108" w:right="-450"/>
              <w:jc w:val="left"/>
              <w:rPr>
                <w:sz w:val="20"/>
              </w:rPr>
            </w:pPr>
            <w:r>
              <w:rPr>
                <w:sz w:val="20"/>
              </w:rPr>
              <w:t>Adjustment for after tax effects of interest savings</w:t>
            </w:r>
          </w:p>
          <w:p w:rsidR="002C3299" w:rsidRDefault="002C3299" w:rsidP="00462395">
            <w:pPr>
              <w:pStyle w:val="BodyText"/>
              <w:tabs>
                <w:tab w:val="left" w:pos="360"/>
                <w:tab w:val="left" w:pos="540"/>
                <w:tab w:val="left" w:pos="630"/>
                <w:tab w:val="left" w:pos="1080"/>
              </w:tabs>
              <w:ind w:left="-108" w:right="-450"/>
              <w:jc w:val="left"/>
              <w:rPr>
                <w:sz w:val="20"/>
              </w:rPr>
            </w:pPr>
            <w:r>
              <w:rPr>
                <w:sz w:val="20"/>
              </w:rPr>
              <w:t>on:</w:t>
            </w:r>
          </w:p>
        </w:tc>
        <w:tc>
          <w:tcPr>
            <w:tcW w:w="1170" w:type="dxa"/>
            <w:tcBorders>
              <w:left w:val="single" w:sz="4" w:space="0" w:color="auto"/>
              <w:right w:val="single" w:sz="4" w:space="0" w:color="auto"/>
            </w:tcBorders>
            <w:shd w:val="clear" w:color="auto" w:fill="auto"/>
          </w:tcPr>
          <w:p w:rsidR="002C3299" w:rsidRPr="009E39CB" w:rsidRDefault="002C3299" w:rsidP="00462395">
            <w:pPr>
              <w:pStyle w:val="BodyText"/>
              <w:tabs>
                <w:tab w:val="left" w:pos="360"/>
                <w:tab w:val="left" w:pos="540"/>
                <w:tab w:val="left" w:pos="630"/>
                <w:tab w:val="left" w:pos="1080"/>
              </w:tabs>
              <w:ind w:right="-108" w:hanging="108"/>
              <w:jc w:val="right"/>
              <w:rPr>
                <w:sz w:val="20"/>
                <w:highlight w:val="yellow"/>
              </w:rPr>
            </w:pPr>
          </w:p>
          <w:p w:rsidR="002C3299" w:rsidRPr="009E39CB" w:rsidRDefault="002C3299" w:rsidP="00462395">
            <w:pPr>
              <w:pStyle w:val="BodyText"/>
              <w:tabs>
                <w:tab w:val="left" w:pos="360"/>
                <w:tab w:val="left" w:pos="540"/>
                <w:tab w:val="left" w:pos="630"/>
                <w:tab w:val="left" w:pos="1080"/>
              </w:tabs>
              <w:ind w:right="-108" w:hanging="108"/>
              <w:jc w:val="right"/>
              <w:rPr>
                <w:sz w:val="20"/>
                <w:highlight w:val="yellow"/>
              </w:rPr>
            </w:pPr>
          </w:p>
        </w:tc>
        <w:tc>
          <w:tcPr>
            <w:tcW w:w="1890" w:type="dxa"/>
            <w:tcBorders>
              <w:left w:val="single" w:sz="4" w:space="0" w:color="auto"/>
              <w:right w:val="single" w:sz="4" w:space="0" w:color="auto"/>
            </w:tcBorders>
            <w:shd w:val="clear" w:color="auto" w:fill="auto"/>
          </w:tcPr>
          <w:p w:rsidR="002C3299" w:rsidRDefault="002C3299" w:rsidP="00286C92">
            <w:pPr>
              <w:pStyle w:val="BodyText"/>
              <w:tabs>
                <w:tab w:val="left" w:pos="360"/>
                <w:tab w:val="left" w:pos="540"/>
                <w:tab w:val="left" w:pos="630"/>
                <w:tab w:val="left" w:pos="1080"/>
              </w:tabs>
              <w:ind w:right="-108" w:hanging="108"/>
              <w:jc w:val="right"/>
              <w:rPr>
                <w:sz w:val="20"/>
              </w:rPr>
            </w:pPr>
          </w:p>
          <w:p w:rsidR="002C3299" w:rsidRDefault="002C3299" w:rsidP="00286C92">
            <w:pPr>
              <w:pStyle w:val="BodyText"/>
              <w:tabs>
                <w:tab w:val="left" w:pos="360"/>
                <w:tab w:val="left" w:pos="540"/>
                <w:tab w:val="left" w:pos="630"/>
                <w:tab w:val="left" w:pos="1080"/>
              </w:tabs>
              <w:ind w:right="-108" w:hanging="108"/>
              <w:jc w:val="right"/>
              <w:rPr>
                <w:sz w:val="20"/>
              </w:rPr>
            </w:pPr>
          </w:p>
        </w:tc>
        <w:tc>
          <w:tcPr>
            <w:tcW w:w="1170" w:type="dxa"/>
            <w:tcBorders>
              <w:left w:val="single" w:sz="4" w:space="0" w:color="auto"/>
              <w:right w:val="single" w:sz="4" w:space="0" w:color="auto"/>
            </w:tcBorders>
            <w:shd w:val="clear" w:color="auto" w:fill="auto"/>
          </w:tcPr>
          <w:p w:rsidR="002C3299" w:rsidRPr="009E39CB" w:rsidRDefault="002C3299" w:rsidP="007A6B89">
            <w:pPr>
              <w:pStyle w:val="BodyText"/>
              <w:tabs>
                <w:tab w:val="left" w:pos="360"/>
                <w:tab w:val="left" w:pos="540"/>
                <w:tab w:val="left" w:pos="630"/>
                <w:tab w:val="left" w:pos="1080"/>
              </w:tabs>
              <w:ind w:right="-108" w:hanging="108"/>
              <w:jc w:val="right"/>
              <w:rPr>
                <w:sz w:val="20"/>
                <w:highlight w:val="yellow"/>
              </w:rPr>
            </w:pPr>
          </w:p>
          <w:p w:rsidR="002C3299" w:rsidRPr="009E39CB" w:rsidRDefault="002C3299" w:rsidP="007A6B89">
            <w:pPr>
              <w:pStyle w:val="BodyText"/>
              <w:tabs>
                <w:tab w:val="left" w:pos="360"/>
                <w:tab w:val="left" w:pos="540"/>
                <w:tab w:val="left" w:pos="630"/>
                <w:tab w:val="left" w:pos="1080"/>
              </w:tabs>
              <w:ind w:right="-108" w:hanging="108"/>
              <w:jc w:val="right"/>
              <w:rPr>
                <w:sz w:val="20"/>
                <w:highlight w:val="yellow"/>
              </w:rPr>
            </w:pPr>
          </w:p>
        </w:tc>
        <w:tc>
          <w:tcPr>
            <w:tcW w:w="1800" w:type="dxa"/>
            <w:tcBorders>
              <w:left w:val="single" w:sz="4" w:space="0" w:color="auto"/>
              <w:right w:val="single" w:sz="4" w:space="0" w:color="auto"/>
            </w:tcBorders>
          </w:tcPr>
          <w:p w:rsidR="002C3299" w:rsidRDefault="002C3299" w:rsidP="007A6B89">
            <w:pPr>
              <w:pStyle w:val="BodyText"/>
              <w:tabs>
                <w:tab w:val="left" w:pos="360"/>
                <w:tab w:val="left" w:pos="540"/>
                <w:tab w:val="left" w:pos="630"/>
                <w:tab w:val="left" w:pos="1080"/>
              </w:tabs>
              <w:ind w:right="-108" w:hanging="108"/>
              <w:jc w:val="right"/>
              <w:rPr>
                <w:sz w:val="20"/>
              </w:rPr>
            </w:pPr>
          </w:p>
          <w:p w:rsidR="002C3299" w:rsidRDefault="002C3299" w:rsidP="007A6B89">
            <w:pPr>
              <w:pStyle w:val="BodyText"/>
              <w:tabs>
                <w:tab w:val="left" w:pos="360"/>
                <w:tab w:val="left" w:pos="540"/>
                <w:tab w:val="left" w:pos="630"/>
                <w:tab w:val="left" w:pos="1080"/>
              </w:tabs>
              <w:ind w:right="-108" w:hanging="108"/>
              <w:jc w:val="right"/>
              <w:rPr>
                <w:sz w:val="20"/>
              </w:rPr>
            </w:pPr>
          </w:p>
        </w:tc>
      </w:tr>
      <w:tr w:rsidR="002C3299" w:rsidRPr="001B7B87">
        <w:tc>
          <w:tcPr>
            <w:tcW w:w="2070" w:type="dxa"/>
            <w:tcBorders>
              <w:right w:val="single" w:sz="4" w:space="0" w:color="auto"/>
            </w:tcBorders>
          </w:tcPr>
          <w:p w:rsidR="002C3299" w:rsidRPr="001B7B87" w:rsidRDefault="002C3299" w:rsidP="00FA061F">
            <w:pPr>
              <w:pStyle w:val="BodyText"/>
              <w:tabs>
                <w:tab w:val="left" w:pos="360"/>
                <w:tab w:val="left" w:pos="540"/>
                <w:tab w:val="left" w:pos="630"/>
                <w:tab w:val="left" w:pos="1080"/>
              </w:tabs>
              <w:ind w:right="-108" w:hanging="108"/>
              <w:jc w:val="left"/>
              <w:rPr>
                <w:sz w:val="20"/>
              </w:rPr>
            </w:pPr>
            <w:r w:rsidRPr="001B7B87">
              <w:rPr>
                <w:sz w:val="20"/>
              </w:rPr>
              <w:t>- USD RCSLS</w:t>
            </w:r>
          </w:p>
        </w:tc>
        <w:tc>
          <w:tcPr>
            <w:tcW w:w="1170" w:type="dxa"/>
            <w:tcBorders>
              <w:left w:val="single" w:sz="4" w:space="0" w:color="auto"/>
              <w:right w:val="single" w:sz="4" w:space="0" w:color="auto"/>
            </w:tcBorders>
            <w:shd w:val="clear" w:color="auto" w:fill="auto"/>
          </w:tcPr>
          <w:p w:rsidR="002C3299" w:rsidRPr="00CA528C" w:rsidRDefault="002C3299" w:rsidP="002C3299">
            <w:pPr>
              <w:pStyle w:val="BodyText"/>
              <w:tabs>
                <w:tab w:val="left" w:pos="360"/>
                <w:tab w:val="left" w:pos="540"/>
                <w:tab w:val="left" w:pos="630"/>
                <w:tab w:val="left" w:pos="1080"/>
              </w:tabs>
              <w:ind w:left="-108" w:right="-108" w:hanging="108"/>
              <w:jc w:val="center"/>
              <w:rPr>
                <w:sz w:val="20"/>
              </w:rPr>
            </w:pPr>
            <w:r>
              <w:rPr>
                <w:sz w:val="20"/>
              </w:rPr>
              <w:t xml:space="preserve">         (401)</w:t>
            </w:r>
          </w:p>
        </w:tc>
        <w:tc>
          <w:tcPr>
            <w:tcW w:w="1890" w:type="dxa"/>
            <w:tcBorders>
              <w:left w:val="single" w:sz="4" w:space="0" w:color="auto"/>
              <w:right w:val="single" w:sz="4" w:space="0" w:color="auto"/>
            </w:tcBorders>
            <w:shd w:val="clear" w:color="auto" w:fill="auto"/>
          </w:tcPr>
          <w:p w:rsidR="002C3299" w:rsidRDefault="002C3299" w:rsidP="002C3299">
            <w:pPr>
              <w:pStyle w:val="BodyText"/>
              <w:tabs>
                <w:tab w:val="left" w:pos="360"/>
                <w:tab w:val="left" w:pos="540"/>
                <w:tab w:val="left" w:pos="630"/>
                <w:tab w:val="left" w:pos="1080"/>
              </w:tabs>
              <w:jc w:val="center"/>
              <w:rPr>
                <w:sz w:val="20"/>
              </w:rPr>
            </w:pPr>
            <w:r>
              <w:rPr>
                <w:sz w:val="20"/>
              </w:rPr>
              <w:t xml:space="preserve">       (323)</w:t>
            </w:r>
          </w:p>
        </w:tc>
        <w:tc>
          <w:tcPr>
            <w:tcW w:w="1170" w:type="dxa"/>
            <w:tcBorders>
              <w:left w:val="single" w:sz="4" w:space="0" w:color="auto"/>
              <w:right w:val="single" w:sz="4" w:space="0" w:color="auto"/>
            </w:tcBorders>
            <w:shd w:val="clear" w:color="auto" w:fill="auto"/>
          </w:tcPr>
          <w:p w:rsidR="002C3299" w:rsidRPr="00CA528C" w:rsidRDefault="002C3299" w:rsidP="007A6B89">
            <w:pPr>
              <w:pStyle w:val="BodyText"/>
              <w:tabs>
                <w:tab w:val="left" w:pos="360"/>
                <w:tab w:val="left" w:pos="540"/>
                <w:tab w:val="left" w:pos="630"/>
                <w:tab w:val="left" w:pos="1080"/>
              </w:tabs>
              <w:ind w:left="-108" w:right="-108" w:hanging="108"/>
              <w:jc w:val="center"/>
              <w:rPr>
                <w:sz w:val="20"/>
              </w:rPr>
            </w:pPr>
            <w:r>
              <w:rPr>
                <w:sz w:val="20"/>
              </w:rPr>
              <w:t xml:space="preserve">         (401)</w:t>
            </w:r>
          </w:p>
        </w:tc>
        <w:tc>
          <w:tcPr>
            <w:tcW w:w="1800" w:type="dxa"/>
            <w:tcBorders>
              <w:left w:val="single" w:sz="4" w:space="0" w:color="auto"/>
              <w:right w:val="single" w:sz="4" w:space="0" w:color="auto"/>
            </w:tcBorders>
          </w:tcPr>
          <w:p w:rsidR="002C3299" w:rsidRDefault="002C3299" w:rsidP="007A6B89">
            <w:pPr>
              <w:pStyle w:val="BodyText"/>
              <w:tabs>
                <w:tab w:val="left" w:pos="360"/>
                <w:tab w:val="left" w:pos="540"/>
                <w:tab w:val="left" w:pos="630"/>
                <w:tab w:val="left" w:pos="1080"/>
              </w:tabs>
              <w:jc w:val="center"/>
              <w:rPr>
                <w:sz w:val="20"/>
              </w:rPr>
            </w:pPr>
            <w:r>
              <w:rPr>
                <w:sz w:val="20"/>
              </w:rPr>
              <w:t xml:space="preserve">       (323)</w:t>
            </w:r>
          </w:p>
        </w:tc>
      </w:tr>
      <w:tr w:rsidR="002C3299" w:rsidRPr="001B7B87">
        <w:tc>
          <w:tcPr>
            <w:tcW w:w="2070" w:type="dxa"/>
            <w:tcBorders>
              <w:right w:val="single" w:sz="4" w:space="0" w:color="auto"/>
            </w:tcBorders>
          </w:tcPr>
          <w:p w:rsidR="002C3299" w:rsidRPr="001B7B87" w:rsidRDefault="002C3299" w:rsidP="00FA061F">
            <w:pPr>
              <w:pStyle w:val="BodyText"/>
              <w:tabs>
                <w:tab w:val="left" w:pos="360"/>
                <w:tab w:val="left" w:pos="540"/>
                <w:tab w:val="left" w:pos="630"/>
                <w:tab w:val="left" w:pos="1080"/>
              </w:tabs>
              <w:ind w:right="-108" w:hanging="108"/>
              <w:jc w:val="left"/>
              <w:rPr>
                <w:sz w:val="20"/>
              </w:rPr>
            </w:pPr>
            <w:r w:rsidRPr="001B7B87">
              <w:rPr>
                <w:sz w:val="20"/>
              </w:rPr>
              <w:t xml:space="preserve">Adjusted net profit </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2C3299" w:rsidRPr="00CA528C" w:rsidRDefault="002C3299" w:rsidP="002C3299">
            <w:pPr>
              <w:pStyle w:val="BodyText"/>
              <w:tabs>
                <w:tab w:val="left" w:pos="360"/>
                <w:tab w:val="left" w:pos="540"/>
                <w:tab w:val="left" w:pos="630"/>
                <w:tab w:val="left" w:pos="1080"/>
              </w:tabs>
              <w:ind w:right="-108" w:hanging="108"/>
              <w:jc w:val="center"/>
              <w:rPr>
                <w:sz w:val="20"/>
              </w:rPr>
            </w:pPr>
            <w:r>
              <w:rPr>
                <w:sz w:val="20"/>
              </w:rPr>
              <w:t xml:space="preserve">  </w:t>
            </w:r>
            <w:r w:rsidRPr="00CA528C">
              <w:rPr>
                <w:sz w:val="20"/>
              </w:rPr>
              <w:t xml:space="preserve"> </w:t>
            </w:r>
            <w:r>
              <w:rPr>
                <w:sz w:val="20"/>
              </w:rPr>
              <w:t xml:space="preserve"> 7,424</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2C3299" w:rsidRPr="001B7B87" w:rsidRDefault="002C3299" w:rsidP="00A21A4D">
            <w:pPr>
              <w:pStyle w:val="BodyText"/>
              <w:tabs>
                <w:tab w:val="left" w:pos="360"/>
                <w:tab w:val="left" w:pos="540"/>
                <w:tab w:val="left" w:pos="630"/>
                <w:tab w:val="left" w:pos="1080"/>
              </w:tabs>
              <w:ind w:right="-108" w:hanging="108"/>
              <w:jc w:val="center"/>
              <w:rPr>
                <w:sz w:val="20"/>
              </w:rPr>
            </w:pPr>
            <w:r>
              <w:rPr>
                <w:sz w:val="20"/>
              </w:rPr>
              <w:t xml:space="preserve">  37,840</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2C3299" w:rsidRPr="00CA528C" w:rsidRDefault="002C3299" w:rsidP="007A6B89">
            <w:pPr>
              <w:pStyle w:val="BodyText"/>
              <w:tabs>
                <w:tab w:val="left" w:pos="360"/>
                <w:tab w:val="left" w:pos="540"/>
                <w:tab w:val="left" w:pos="630"/>
                <w:tab w:val="left" w:pos="1080"/>
              </w:tabs>
              <w:ind w:right="-108" w:hanging="108"/>
              <w:jc w:val="center"/>
              <w:rPr>
                <w:sz w:val="20"/>
              </w:rPr>
            </w:pPr>
            <w:r>
              <w:rPr>
                <w:sz w:val="20"/>
              </w:rPr>
              <w:t xml:space="preserve">  </w:t>
            </w:r>
            <w:r w:rsidRPr="00CA528C">
              <w:rPr>
                <w:sz w:val="20"/>
              </w:rPr>
              <w:t xml:space="preserve"> </w:t>
            </w:r>
            <w:r>
              <w:rPr>
                <w:sz w:val="20"/>
              </w:rPr>
              <w:t xml:space="preserve"> 7,424</w:t>
            </w:r>
          </w:p>
        </w:tc>
        <w:tc>
          <w:tcPr>
            <w:tcW w:w="1800" w:type="dxa"/>
            <w:tcBorders>
              <w:top w:val="single" w:sz="4" w:space="0" w:color="auto"/>
              <w:left w:val="single" w:sz="4" w:space="0" w:color="auto"/>
              <w:bottom w:val="single" w:sz="12" w:space="0" w:color="auto"/>
              <w:right w:val="single" w:sz="4" w:space="0" w:color="auto"/>
            </w:tcBorders>
          </w:tcPr>
          <w:p w:rsidR="002C3299" w:rsidRPr="001B7B87" w:rsidRDefault="002C3299" w:rsidP="007A6B89">
            <w:pPr>
              <w:pStyle w:val="BodyText"/>
              <w:tabs>
                <w:tab w:val="left" w:pos="360"/>
                <w:tab w:val="left" w:pos="540"/>
                <w:tab w:val="left" w:pos="630"/>
                <w:tab w:val="left" w:pos="1080"/>
              </w:tabs>
              <w:ind w:right="-108" w:hanging="108"/>
              <w:jc w:val="center"/>
              <w:rPr>
                <w:sz w:val="20"/>
              </w:rPr>
            </w:pPr>
            <w:r>
              <w:rPr>
                <w:sz w:val="20"/>
              </w:rPr>
              <w:t xml:space="preserve">  37,840</w:t>
            </w:r>
          </w:p>
        </w:tc>
      </w:tr>
    </w:tbl>
    <w:p w:rsidR="0059386B" w:rsidRPr="001B7B87" w:rsidRDefault="0059386B" w:rsidP="00491580">
      <w:pPr>
        <w:pStyle w:val="BodyText"/>
        <w:tabs>
          <w:tab w:val="left" w:pos="540"/>
          <w:tab w:val="left" w:pos="630"/>
          <w:tab w:val="left" w:pos="1080"/>
        </w:tabs>
        <w:ind w:left="1080" w:right="-450" w:hanging="1800"/>
        <w:rPr>
          <w:sz w:val="20"/>
        </w:rPr>
      </w:pPr>
    </w:p>
    <w:p w:rsidR="00544045" w:rsidRDefault="00544045" w:rsidP="00491580">
      <w:pPr>
        <w:pStyle w:val="BodyText"/>
        <w:tabs>
          <w:tab w:val="left" w:pos="540"/>
          <w:tab w:val="left" w:pos="630"/>
          <w:tab w:val="left" w:pos="1080"/>
        </w:tabs>
        <w:ind w:left="1080" w:right="-450" w:hanging="1800"/>
        <w:rPr>
          <w:sz w:val="20"/>
        </w:rPr>
      </w:pPr>
    </w:p>
    <w:p w:rsidR="00FD3AFC" w:rsidRPr="001B7B87" w:rsidRDefault="00FD3AFC" w:rsidP="00491580">
      <w:pPr>
        <w:pStyle w:val="BodyText"/>
        <w:tabs>
          <w:tab w:val="left" w:pos="540"/>
          <w:tab w:val="left" w:pos="630"/>
          <w:tab w:val="left" w:pos="1080"/>
        </w:tabs>
        <w:ind w:left="1080" w:right="-450" w:hanging="1800"/>
        <w:rPr>
          <w:sz w:val="20"/>
        </w:rPr>
      </w:pPr>
    </w:p>
    <w:tbl>
      <w:tblPr>
        <w:tblW w:w="8370" w:type="dxa"/>
        <w:tblInd w:w="1098" w:type="dxa"/>
        <w:tblLayout w:type="fixed"/>
        <w:tblLook w:val="0000"/>
      </w:tblPr>
      <w:tblGrid>
        <w:gridCol w:w="2070"/>
        <w:gridCol w:w="1170"/>
        <w:gridCol w:w="1890"/>
        <w:gridCol w:w="1170"/>
        <w:gridCol w:w="2070"/>
      </w:tblGrid>
      <w:tr w:rsidR="0059386B" w:rsidRPr="001B7B87">
        <w:trPr>
          <w:cantSplit/>
        </w:trPr>
        <w:tc>
          <w:tcPr>
            <w:tcW w:w="2070" w:type="dxa"/>
          </w:tcPr>
          <w:p w:rsidR="0059386B" w:rsidRPr="001B7B87" w:rsidRDefault="0059386B" w:rsidP="00491580">
            <w:pPr>
              <w:pStyle w:val="BodyText"/>
              <w:tabs>
                <w:tab w:val="left" w:pos="360"/>
                <w:tab w:val="left" w:pos="540"/>
                <w:tab w:val="left" w:pos="630"/>
                <w:tab w:val="left" w:pos="1080"/>
              </w:tabs>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59386B" w:rsidRPr="001B7B87" w:rsidRDefault="0059386B" w:rsidP="006B5E5F">
            <w:pPr>
              <w:pStyle w:val="BodyText"/>
              <w:tabs>
                <w:tab w:val="left" w:pos="360"/>
                <w:tab w:val="left" w:pos="540"/>
                <w:tab w:val="left" w:pos="630"/>
                <w:tab w:val="left" w:pos="1080"/>
              </w:tabs>
              <w:ind w:right="-108" w:hanging="108"/>
              <w:jc w:val="center"/>
              <w:rPr>
                <w:b/>
                <w:sz w:val="18"/>
              </w:rPr>
            </w:pPr>
            <w:r w:rsidRPr="001B7B87">
              <w:rPr>
                <w:b/>
                <w:sz w:val="18"/>
              </w:rPr>
              <w:t>INDIVIDUAL QUARTER</w:t>
            </w:r>
          </w:p>
        </w:tc>
        <w:tc>
          <w:tcPr>
            <w:tcW w:w="3240" w:type="dxa"/>
            <w:gridSpan w:val="2"/>
            <w:tcBorders>
              <w:top w:val="single" w:sz="4" w:space="0" w:color="auto"/>
              <w:left w:val="nil"/>
              <w:bottom w:val="single" w:sz="4" w:space="0" w:color="auto"/>
              <w:right w:val="single" w:sz="4" w:space="0" w:color="auto"/>
            </w:tcBorders>
          </w:tcPr>
          <w:p w:rsidR="0059386B" w:rsidRPr="001B7B87" w:rsidRDefault="0059386B" w:rsidP="006B5E5F">
            <w:pPr>
              <w:pStyle w:val="BodyText"/>
              <w:tabs>
                <w:tab w:val="left" w:pos="360"/>
                <w:tab w:val="left" w:pos="540"/>
                <w:tab w:val="left" w:pos="630"/>
                <w:tab w:val="left" w:pos="1080"/>
              </w:tabs>
              <w:ind w:right="-108" w:hanging="108"/>
              <w:jc w:val="center"/>
              <w:rPr>
                <w:b/>
                <w:sz w:val="18"/>
              </w:rPr>
            </w:pPr>
            <w:r w:rsidRPr="001B7B87">
              <w:rPr>
                <w:b/>
                <w:sz w:val="18"/>
              </w:rPr>
              <w:t>CUMULATIVE QUARTER</w:t>
            </w:r>
          </w:p>
        </w:tc>
      </w:tr>
      <w:tr w:rsidR="00EB318F" w:rsidRPr="001B7B87">
        <w:tc>
          <w:tcPr>
            <w:tcW w:w="2070" w:type="dxa"/>
          </w:tcPr>
          <w:p w:rsidR="00EB318F" w:rsidRPr="001B7B87" w:rsidRDefault="00EB318F" w:rsidP="00491580">
            <w:pPr>
              <w:pStyle w:val="BodyText"/>
              <w:tabs>
                <w:tab w:val="left" w:pos="360"/>
                <w:tab w:val="left" w:pos="540"/>
                <w:tab w:val="left" w:pos="630"/>
                <w:tab w:val="left" w:pos="1080"/>
              </w:tabs>
              <w:ind w:right="-450" w:hanging="1800"/>
              <w:rPr>
                <w:sz w:val="20"/>
              </w:rPr>
            </w:pPr>
          </w:p>
        </w:tc>
        <w:tc>
          <w:tcPr>
            <w:tcW w:w="1170" w:type="dxa"/>
            <w:tcBorders>
              <w:left w:val="single" w:sz="4" w:space="0" w:color="auto"/>
              <w:bottom w:val="single" w:sz="4" w:space="0" w:color="auto"/>
            </w:tcBorders>
          </w:tcPr>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CURRENT</w:t>
            </w:r>
          </w:p>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YEAR</w:t>
            </w:r>
          </w:p>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QUARTER</w:t>
            </w:r>
          </w:p>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31/3/2011</w:t>
            </w:r>
          </w:p>
        </w:tc>
        <w:tc>
          <w:tcPr>
            <w:tcW w:w="1890" w:type="dxa"/>
            <w:tcBorders>
              <w:top w:val="single" w:sz="4" w:space="0" w:color="auto"/>
              <w:left w:val="single" w:sz="4" w:space="0" w:color="auto"/>
              <w:bottom w:val="single" w:sz="4" w:space="0" w:color="auto"/>
              <w:right w:val="single" w:sz="4" w:space="0" w:color="auto"/>
            </w:tcBorders>
          </w:tcPr>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PRECEDING YEAR</w:t>
            </w:r>
          </w:p>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CORRESPONDING</w:t>
            </w:r>
          </w:p>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QUARTER</w:t>
            </w:r>
          </w:p>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31/3/2010</w:t>
            </w:r>
          </w:p>
        </w:tc>
        <w:tc>
          <w:tcPr>
            <w:tcW w:w="1170" w:type="dxa"/>
            <w:tcBorders>
              <w:top w:val="single" w:sz="4" w:space="0" w:color="auto"/>
              <w:left w:val="single" w:sz="4" w:space="0" w:color="auto"/>
              <w:bottom w:val="single" w:sz="4" w:space="0" w:color="auto"/>
              <w:right w:val="single" w:sz="4" w:space="0" w:color="auto"/>
            </w:tcBorders>
          </w:tcPr>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CURRENT</w:t>
            </w:r>
          </w:p>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YEAR TO DATE</w:t>
            </w:r>
          </w:p>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31/3/2011</w:t>
            </w:r>
          </w:p>
        </w:tc>
        <w:tc>
          <w:tcPr>
            <w:tcW w:w="2070" w:type="dxa"/>
            <w:tcBorders>
              <w:left w:val="nil"/>
              <w:bottom w:val="single" w:sz="4" w:space="0" w:color="auto"/>
              <w:right w:val="single" w:sz="4" w:space="0" w:color="auto"/>
            </w:tcBorders>
          </w:tcPr>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PRECEDING YEAR</w:t>
            </w:r>
          </w:p>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CORRESPONDING</w:t>
            </w:r>
          </w:p>
          <w:p w:rsidR="00EB318F" w:rsidRDefault="00EB318F" w:rsidP="00A21A4D">
            <w:pPr>
              <w:pStyle w:val="BodyText"/>
              <w:tabs>
                <w:tab w:val="left" w:pos="360"/>
                <w:tab w:val="left" w:pos="540"/>
                <w:tab w:val="left" w:pos="630"/>
                <w:tab w:val="left" w:pos="1080"/>
              </w:tabs>
              <w:ind w:right="-108" w:hanging="108"/>
              <w:jc w:val="center"/>
              <w:rPr>
                <w:b/>
                <w:sz w:val="18"/>
              </w:rPr>
            </w:pPr>
            <w:r>
              <w:rPr>
                <w:b/>
                <w:sz w:val="18"/>
              </w:rPr>
              <w:t>PERIOD</w:t>
            </w:r>
          </w:p>
          <w:p w:rsidR="00EB318F" w:rsidRDefault="00EB318F" w:rsidP="00A21A4D">
            <w:pPr>
              <w:pStyle w:val="BodyText"/>
              <w:tabs>
                <w:tab w:val="left" w:pos="360"/>
                <w:tab w:val="left" w:pos="540"/>
                <w:tab w:val="left" w:pos="702"/>
                <w:tab w:val="left" w:pos="1080"/>
              </w:tabs>
              <w:ind w:right="-108" w:hanging="108"/>
              <w:jc w:val="center"/>
              <w:rPr>
                <w:b/>
                <w:sz w:val="18"/>
              </w:rPr>
            </w:pPr>
            <w:r>
              <w:rPr>
                <w:b/>
                <w:sz w:val="18"/>
              </w:rPr>
              <w:t>31/3/2010</w:t>
            </w:r>
          </w:p>
        </w:tc>
      </w:tr>
      <w:tr w:rsidR="0059386B" w:rsidRPr="001B7B87">
        <w:tc>
          <w:tcPr>
            <w:tcW w:w="2070" w:type="dxa"/>
            <w:tcBorders>
              <w:right w:val="single" w:sz="4" w:space="0" w:color="auto"/>
            </w:tcBorders>
          </w:tcPr>
          <w:p w:rsidR="0059386B" w:rsidRPr="001B7B87" w:rsidRDefault="0059386B" w:rsidP="00491580">
            <w:pPr>
              <w:pStyle w:val="BodyText"/>
              <w:tabs>
                <w:tab w:val="left" w:pos="360"/>
                <w:tab w:val="left" w:pos="540"/>
                <w:tab w:val="left" w:pos="630"/>
                <w:tab w:val="left" w:pos="1080"/>
              </w:tabs>
              <w:ind w:right="-450" w:hanging="1800"/>
              <w:rPr>
                <w:sz w:val="20"/>
              </w:rPr>
            </w:pPr>
          </w:p>
        </w:tc>
        <w:tc>
          <w:tcPr>
            <w:tcW w:w="1170" w:type="dxa"/>
            <w:tcBorders>
              <w:top w:val="single" w:sz="4" w:space="0" w:color="auto"/>
              <w:left w:val="single" w:sz="4" w:space="0" w:color="auto"/>
              <w:right w:val="single" w:sz="4" w:space="0" w:color="auto"/>
            </w:tcBorders>
          </w:tcPr>
          <w:p w:rsidR="0059386B" w:rsidRPr="001B7B87" w:rsidRDefault="0059386B" w:rsidP="00491580">
            <w:pPr>
              <w:pStyle w:val="BodyText"/>
              <w:tabs>
                <w:tab w:val="left" w:pos="360"/>
                <w:tab w:val="left" w:pos="540"/>
                <w:tab w:val="left" w:pos="630"/>
                <w:tab w:val="left" w:pos="1080"/>
              </w:tabs>
              <w:ind w:right="-450" w:hanging="1800"/>
              <w:jc w:val="right"/>
              <w:rPr>
                <w:sz w:val="20"/>
              </w:rPr>
            </w:pPr>
          </w:p>
        </w:tc>
        <w:tc>
          <w:tcPr>
            <w:tcW w:w="1890" w:type="dxa"/>
            <w:tcBorders>
              <w:top w:val="single" w:sz="4" w:space="0" w:color="auto"/>
              <w:left w:val="single" w:sz="4" w:space="0" w:color="auto"/>
              <w:right w:val="single" w:sz="4" w:space="0" w:color="auto"/>
            </w:tcBorders>
          </w:tcPr>
          <w:p w:rsidR="0059386B" w:rsidRPr="001B7B87" w:rsidRDefault="0059386B" w:rsidP="00491580">
            <w:pPr>
              <w:pStyle w:val="BodyText"/>
              <w:tabs>
                <w:tab w:val="left" w:pos="360"/>
                <w:tab w:val="left" w:pos="540"/>
                <w:tab w:val="left" w:pos="630"/>
                <w:tab w:val="left" w:pos="1080"/>
              </w:tabs>
              <w:ind w:right="-450" w:hanging="1800"/>
              <w:jc w:val="right"/>
              <w:rPr>
                <w:sz w:val="20"/>
              </w:rPr>
            </w:pPr>
          </w:p>
        </w:tc>
        <w:tc>
          <w:tcPr>
            <w:tcW w:w="1170" w:type="dxa"/>
            <w:tcBorders>
              <w:top w:val="single" w:sz="4" w:space="0" w:color="auto"/>
              <w:left w:val="single" w:sz="4" w:space="0" w:color="auto"/>
              <w:right w:val="single" w:sz="4" w:space="0" w:color="auto"/>
            </w:tcBorders>
          </w:tcPr>
          <w:p w:rsidR="0059386B" w:rsidRPr="001B7B87" w:rsidRDefault="0059386B" w:rsidP="00491580">
            <w:pPr>
              <w:pStyle w:val="BodyText"/>
              <w:tabs>
                <w:tab w:val="left" w:pos="360"/>
                <w:tab w:val="left" w:pos="540"/>
                <w:tab w:val="left" w:pos="630"/>
                <w:tab w:val="left" w:pos="1080"/>
              </w:tabs>
              <w:ind w:right="-450" w:hanging="1800"/>
              <w:jc w:val="right"/>
              <w:rPr>
                <w:sz w:val="20"/>
              </w:rPr>
            </w:pPr>
          </w:p>
        </w:tc>
        <w:tc>
          <w:tcPr>
            <w:tcW w:w="2070" w:type="dxa"/>
            <w:tcBorders>
              <w:top w:val="single" w:sz="4" w:space="0" w:color="auto"/>
              <w:left w:val="single" w:sz="4" w:space="0" w:color="auto"/>
              <w:right w:val="single" w:sz="4" w:space="0" w:color="auto"/>
            </w:tcBorders>
          </w:tcPr>
          <w:p w:rsidR="0059386B" w:rsidRPr="001B7B87" w:rsidRDefault="0059386B" w:rsidP="00491580">
            <w:pPr>
              <w:pStyle w:val="BodyText"/>
              <w:tabs>
                <w:tab w:val="left" w:pos="360"/>
                <w:tab w:val="left" w:pos="540"/>
                <w:tab w:val="left" w:pos="630"/>
                <w:tab w:val="left" w:pos="1080"/>
              </w:tabs>
              <w:ind w:right="-450" w:hanging="1800"/>
              <w:jc w:val="right"/>
              <w:rPr>
                <w:sz w:val="20"/>
              </w:rPr>
            </w:pPr>
          </w:p>
        </w:tc>
      </w:tr>
      <w:tr w:rsidR="007C1D26" w:rsidRPr="001B7B87">
        <w:tc>
          <w:tcPr>
            <w:tcW w:w="2070" w:type="dxa"/>
            <w:tcBorders>
              <w:right w:val="single" w:sz="4" w:space="0" w:color="auto"/>
            </w:tcBorders>
          </w:tcPr>
          <w:p w:rsidR="007C1D26" w:rsidRPr="001B7B87" w:rsidRDefault="007C1D26" w:rsidP="006B5E5F">
            <w:pPr>
              <w:pStyle w:val="BodyText"/>
              <w:tabs>
                <w:tab w:val="left" w:pos="360"/>
                <w:tab w:val="left" w:pos="540"/>
                <w:tab w:val="left" w:pos="630"/>
                <w:tab w:val="left" w:pos="1080"/>
              </w:tabs>
              <w:ind w:left="-108" w:right="-108"/>
              <w:jc w:val="left"/>
              <w:rPr>
                <w:sz w:val="20"/>
              </w:rPr>
            </w:pPr>
            <w:r w:rsidRPr="001B7B87">
              <w:rPr>
                <w:sz w:val="20"/>
              </w:rPr>
              <w:t>Number of ordinary shares in issue ('000)</w:t>
            </w:r>
          </w:p>
        </w:tc>
        <w:tc>
          <w:tcPr>
            <w:tcW w:w="1170" w:type="dxa"/>
            <w:tcBorders>
              <w:left w:val="single" w:sz="4" w:space="0" w:color="auto"/>
              <w:right w:val="single" w:sz="4" w:space="0" w:color="auto"/>
            </w:tcBorders>
          </w:tcPr>
          <w:p w:rsidR="007C1D26" w:rsidRPr="00CA528C" w:rsidRDefault="007C1D26" w:rsidP="00A21A4D">
            <w:pPr>
              <w:pStyle w:val="BodyText"/>
              <w:tabs>
                <w:tab w:val="left" w:pos="360"/>
                <w:tab w:val="left" w:pos="540"/>
                <w:tab w:val="left" w:pos="630"/>
                <w:tab w:val="left" w:pos="1062"/>
              </w:tabs>
              <w:ind w:left="-108" w:right="-108"/>
              <w:jc w:val="center"/>
              <w:rPr>
                <w:sz w:val="20"/>
              </w:rPr>
            </w:pPr>
            <w:r w:rsidRPr="00CA528C">
              <w:rPr>
                <w:sz w:val="20"/>
              </w:rPr>
              <w:t>570,050</w:t>
            </w:r>
          </w:p>
        </w:tc>
        <w:tc>
          <w:tcPr>
            <w:tcW w:w="1890" w:type="dxa"/>
            <w:tcBorders>
              <w:left w:val="single" w:sz="4" w:space="0" w:color="auto"/>
              <w:right w:val="single" w:sz="4" w:space="0" w:color="auto"/>
            </w:tcBorders>
          </w:tcPr>
          <w:p w:rsidR="007C1D26" w:rsidRPr="001B7B87" w:rsidRDefault="007C1D26" w:rsidP="00A21A4D">
            <w:pPr>
              <w:pStyle w:val="BodyText"/>
              <w:tabs>
                <w:tab w:val="left" w:pos="360"/>
                <w:tab w:val="left" w:pos="540"/>
                <w:tab w:val="left" w:pos="630"/>
                <w:tab w:val="left" w:pos="1062"/>
              </w:tabs>
              <w:ind w:left="-108" w:right="-108"/>
              <w:jc w:val="center"/>
              <w:rPr>
                <w:sz w:val="20"/>
              </w:rPr>
            </w:pPr>
            <w:r w:rsidRPr="001B7B87">
              <w:rPr>
                <w:sz w:val="20"/>
              </w:rPr>
              <w:t>570,050</w:t>
            </w:r>
          </w:p>
        </w:tc>
        <w:tc>
          <w:tcPr>
            <w:tcW w:w="1170" w:type="dxa"/>
            <w:tcBorders>
              <w:left w:val="single" w:sz="4" w:space="0" w:color="auto"/>
              <w:right w:val="single" w:sz="4" w:space="0" w:color="auto"/>
            </w:tcBorders>
          </w:tcPr>
          <w:p w:rsidR="007C1D26" w:rsidRPr="00CA528C" w:rsidRDefault="007C1D26" w:rsidP="006B5E5F">
            <w:pPr>
              <w:pStyle w:val="BodyText"/>
              <w:tabs>
                <w:tab w:val="left" w:pos="360"/>
                <w:tab w:val="left" w:pos="540"/>
                <w:tab w:val="left" w:pos="630"/>
                <w:tab w:val="left" w:pos="1062"/>
              </w:tabs>
              <w:ind w:left="-108" w:right="-108"/>
              <w:jc w:val="center"/>
              <w:rPr>
                <w:sz w:val="20"/>
              </w:rPr>
            </w:pPr>
            <w:r w:rsidRPr="00CA528C">
              <w:rPr>
                <w:sz w:val="20"/>
              </w:rPr>
              <w:t>570,050</w:t>
            </w:r>
          </w:p>
        </w:tc>
        <w:tc>
          <w:tcPr>
            <w:tcW w:w="2070" w:type="dxa"/>
            <w:tcBorders>
              <w:left w:val="single" w:sz="4" w:space="0" w:color="auto"/>
              <w:right w:val="single" w:sz="4" w:space="0" w:color="auto"/>
            </w:tcBorders>
          </w:tcPr>
          <w:p w:rsidR="007C1D26" w:rsidRPr="001B7B87" w:rsidRDefault="007C1D26" w:rsidP="006B5E5F">
            <w:pPr>
              <w:pStyle w:val="BodyText"/>
              <w:tabs>
                <w:tab w:val="left" w:pos="360"/>
                <w:tab w:val="left" w:pos="540"/>
                <w:tab w:val="left" w:pos="630"/>
                <w:tab w:val="left" w:pos="1062"/>
              </w:tabs>
              <w:ind w:left="-108" w:right="-108"/>
              <w:jc w:val="center"/>
              <w:rPr>
                <w:sz w:val="20"/>
              </w:rPr>
            </w:pPr>
            <w:r w:rsidRPr="001B7B87">
              <w:rPr>
                <w:sz w:val="20"/>
              </w:rPr>
              <w:t>570,050</w:t>
            </w:r>
          </w:p>
        </w:tc>
      </w:tr>
      <w:tr w:rsidR="007C1D26" w:rsidRPr="001B7B87">
        <w:tc>
          <w:tcPr>
            <w:tcW w:w="2070" w:type="dxa"/>
            <w:tcBorders>
              <w:right w:val="single" w:sz="4" w:space="0" w:color="auto"/>
            </w:tcBorders>
          </w:tcPr>
          <w:p w:rsidR="007C1D26" w:rsidRPr="001B7B87" w:rsidRDefault="007C1D26" w:rsidP="006B5E5F">
            <w:pPr>
              <w:pStyle w:val="BodyText"/>
              <w:tabs>
                <w:tab w:val="left" w:pos="360"/>
                <w:tab w:val="left" w:pos="540"/>
                <w:tab w:val="left" w:pos="630"/>
                <w:tab w:val="left" w:pos="1080"/>
              </w:tabs>
              <w:ind w:left="-108" w:right="-108"/>
              <w:jc w:val="left"/>
              <w:rPr>
                <w:sz w:val="20"/>
              </w:rPr>
            </w:pPr>
          </w:p>
        </w:tc>
        <w:tc>
          <w:tcPr>
            <w:tcW w:w="1170" w:type="dxa"/>
            <w:tcBorders>
              <w:left w:val="single" w:sz="4" w:space="0" w:color="auto"/>
              <w:right w:val="single" w:sz="4" w:space="0" w:color="auto"/>
            </w:tcBorders>
          </w:tcPr>
          <w:p w:rsidR="007C1D26" w:rsidRPr="00CA528C" w:rsidRDefault="007C1D26" w:rsidP="00A21A4D">
            <w:pPr>
              <w:pStyle w:val="BodyText"/>
              <w:tabs>
                <w:tab w:val="left" w:pos="360"/>
                <w:tab w:val="left" w:pos="540"/>
                <w:tab w:val="left" w:pos="630"/>
                <w:tab w:val="left" w:pos="1062"/>
              </w:tabs>
              <w:ind w:left="-108" w:right="-108"/>
              <w:jc w:val="center"/>
              <w:rPr>
                <w:sz w:val="20"/>
              </w:rPr>
            </w:pPr>
          </w:p>
        </w:tc>
        <w:tc>
          <w:tcPr>
            <w:tcW w:w="1890" w:type="dxa"/>
            <w:tcBorders>
              <w:left w:val="single" w:sz="4" w:space="0" w:color="auto"/>
              <w:right w:val="single" w:sz="4" w:space="0" w:color="auto"/>
            </w:tcBorders>
          </w:tcPr>
          <w:p w:rsidR="007C1D26" w:rsidRPr="001B7B87" w:rsidRDefault="007C1D26" w:rsidP="00A21A4D">
            <w:pPr>
              <w:pStyle w:val="BodyText"/>
              <w:tabs>
                <w:tab w:val="left" w:pos="360"/>
                <w:tab w:val="left" w:pos="540"/>
                <w:tab w:val="left" w:pos="630"/>
                <w:tab w:val="left" w:pos="1062"/>
              </w:tabs>
              <w:ind w:left="-108" w:right="-108"/>
              <w:jc w:val="center"/>
              <w:rPr>
                <w:sz w:val="20"/>
              </w:rPr>
            </w:pPr>
          </w:p>
        </w:tc>
        <w:tc>
          <w:tcPr>
            <w:tcW w:w="1170" w:type="dxa"/>
            <w:tcBorders>
              <w:left w:val="single" w:sz="4" w:space="0" w:color="auto"/>
              <w:right w:val="single" w:sz="4" w:space="0" w:color="auto"/>
            </w:tcBorders>
          </w:tcPr>
          <w:p w:rsidR="007C1D26" w:rsidRPr="00CA528C" w:rsidRDefault="007C1D26" w:rsidP="006B5E5F">
            <w:pPr>
              <w:pStyle w:val="BodyText"/>
              <w:tabs>
                <w:tab w:val="left" w:pos="360"/>
                <w:tab w:val="left" w:pos="540"/>
                <w:tab w:val="left" w:pos="630"/>
                <w:tab w:val="left" w:pos="1062"/>
              </w:tabs>
              <w:ind w:left="-108" w:right="-108"/>
              <w:jc w:val="center"/>
              <w:rPr>
                <w:sz w:val="20"/>
              </w:rPr>
            </w:pPr>
          </w:p>
        </w:tc>
        <w:tc>
          <w:tcPr>
            <w:tcW w:w="2070" w:type="dxa"/>
            <w:tcBorders>
              <w:left w:val="single" w:sz="4" w:space="0" w:color="auto"/>
              <w:right w:val="single" w:sz="4" w:space="0" w:color="auto"/>
            </w:tcBorders>
          </w:tcPr>
          <w:p w:rsidR="007C1D26" w:rsidRPr="001B7B87" w:rsidRDefault="007C1D26" w:rsidP="006B5E5F">
            <w:pPr>
              <w:pStyle w:val="BodyText"/>
              <w:tabs>
                <w:tab w:val="left" w:pos="360"/>
                <w:tab w:val="left" w:pos="540"/>
                <w:tab w:val="left" w:pos="630"/>
                <w:tab w:val="left" w:pos="1062"/>
              </w:tabs>
              <w:ind w:left="-108" w:right="-108"/>
              <w:jc w:val="center"/>
              <w:rPr>
                <w:sz w:val="20"/>
              </w:rPr>
            </w:pPr>
          </w:p>
        </w:tc>
      </w:tr>
      <w:tr w:rsidR="007C1D26" w:rsidRPr="001B7B87">
        <w:tc>
          <w:tcPr>
            <w:tcW w:w="2070" w:type="dxa"/>
            <w:tcBorders>
              <w:right w:val="single" w:sz="4" w:space="0" w:color="auto"/>
            </w:tcBorders>
          </w:tcPr>
          <w:p w:rsidR="007C1D26" w:rsidRPr="001B7B87" w:rsidRDefault="007C1D26" w:rsidP="006B5E5F">
            <w:pPr>
              <w:pStyle w:val="BodyText"/>
              <w:tabs>
                <w:tab w:val="left" w:pos="360"/>
                <w:tab w:val="left" w:pos="540"/>
                <w:tab w:val="left" w:pos="630"/>
                <w:tab w:val="left" w:pos="1080"/>
              </w:tabs>
              <w:ind w:left="-108" w:right="-108"/>
              <w:jc w:val="left"/>
              <w:rPr>
                <w:sz w:val="20"/>
              </w:rPr>
            </w:pPr>
            <w:r w:rsidRPr="001B7B87">
              <w:rPr>
                <w:sz w:val="20"/>
              </w:rPr>
              <w:t xml:space="preserve">Adjustment on assumption of the full conversion of (’000): </w:t>
            </w:r>
          </w:p>
        </w:tc>
        <w:tc>
          <w:tcPr>
            <w:tcW w:w="1170" w:type="dxa"/>
            <w:tcBorders>
              <w:left w:val="single" w:sz="4" w:space="0" w:color="auto"/>
              <w:right w:val="single" w:sz="4" w:space="0" w:color="auto"/>
            </w:tcBorders>
          </w:tcPr>
          <w:p w:rsidR="007C1D26" w:rsidRPr="00CA528C" w:rsidRDefault="007C1D26" w:rsidP="00A21A4D">
            <w:pPr>
              <w:pStyle w:val="BodyText"/>
              <w:tabs>
                <w:tab w:val="left" w:pos="360"/>
                <w:tab w:val="left" w:pos="540"/>
                <w:tab w:val="left" w:pos="630"/>
                <w:tab w:val="left" w:pos="1062"/>
              </w:tabs>
              <w:ind w:left="-108" w:right="-108"/>
              <w:jc w:val="center"/>
              <w:rPr>
                <w:sz w:val="20"/>
              </w:rPr>
            </w:pPr>
          </w:p>
          <w:p w:rsidR="007C1D26" w:rsidRPr="00CA528C" w:rsidRDefault="007C1D26" w:rsidP="00A21A4D">
            <w:pPr>
              <w:pStyle w:val="BodyText"/>
              <w:tabs>
                <w:tab w:val="left" w:pos="360"/>
                <w:tab w:val="left" w:pos="540"/>
                <w:tab w:val="left" w:pos="630"/>
                <w:tab w:val="left" w:pos="1062"/>
              </w:tabs>
              <w:ind w:left="-108" w:right="-108"/>
              <w:jc w:val="center"/>
              <w:rPr>
                <w:sz w:val="20"/>
              </w:rPr>
            </w:pPr>
          </w:p>
        </w:tc>
        <w:tc>
          <w:tcPr>
            <w:tcW w:w="1890" w:type="dxa"/>
            <w:tcBorders>
              <w:left w:val="single" w:sz="4" w:space="0" w:color="auto"/>
              <w:right w:val="single" w:sz="4" w:space="0" w:color="auto"/>
            </w:tcBorders>
          </w:tcPr>
          <w:p w:rsidR="007C1D26" w:rsidRPr="001B7B87" w:rsidRDefault="007C1D26" w:rsidP="00A21A4D">
            <w:pPr>
              <w:pStyle w:val="BodyText"/>
              <w:tabs>
                <w:tab w:val="left" w:pos="360"/>
                <w:tab w:val="left" w:pos="540"/>
                <w:tab w:val="left" w:pos="630"/>
                <w:tab w:val="left" w:pos="1062"/>
              </w:tabs>
              <w:ind w:left="-108" w:right="-108"/>
              <w:jc w:val="center"/>
              <w:rPr>
                <w:sz w:val="20"/>
              </w:rPr>
            </w:pPr>
          </w:p>
        </w:tc>
        <w:tc>
          <w:tcPr>
            <w:tcW w:w="1170" w:type="dxa"/>
            <w:tcBorders>
              <w:left w:val="single" w:sz="4" w:space="0" w:color="auto"/>
              <w:right w:val="single" w:sz="4" w:space="0" w:color="auto"/>
            </w:tcBorders>
          </w:tcPr>
          <w:p w:rsidR="007C1D26" w:rsidRPr="00CA528C" w:rsidRDefault="007C1D26" w:rsidP="006B5E5F">
            <w:pPr>
              <w:pStyle w:val="BodyText"/>
              <w:tabs>
                <w:tab w:val="left" w:pos="360"/>
                <w:tab w:val="left" w:pos="540"/>
                <w:tab w:val="left" w:pos="630"/>
                <w:tab w:val="left" w:pos="1062"/>
              </w:tabs>
              <w:ind w:left="-108" w:right="-108"/>
              <w:jc w:val="center"/>
              <w:rPr>
                <w:sz w:val="20"/>
              </w:rPr>
            </w:pPr>
          </w:p>
          <w:p w:rsidR="007C1D26" w:rsidRPr="00CA528C" w:rsidRDefault="007C1D26" w:rsidP="006B5E5F">
            <w:pPr>
              <w:pStyle w:val="BodyText"/>
              <w:tabs>
                <w:tab w:val="left" w:pos="360"/>
                <w:tab w:val="left" w:pos="540"/>
                <w:tab w:val="left" w:pos="630"/>
                <w:tab w:val="left" w:pos="1062"/>
              </w:tabs>
              <w:ind w:left="-108" w:right="-108"/>
              <w:jc w:val="center"/>
              <w:rPr>
                <w:sz w:val="20"/>
              </w:rPr>
            </w:pPr>
          </w:p>
        </w:tc>
        <w:tc>
          <w:tcPr>
            <w:tcW w:w="2070" w:type="dxa"/>
            <w:tcBorders>
              <w:left w:val="single" w:sz="4" w:space="0" w:color="auto"/>
              <w:right w:val="single" w:sz="4" w:space="0" w:color="auto"/>
            </w:tcBorders>
          </w:tcPr>
          <w:p w:rsidR="007C1D26" w:rsidRPr="001B7B87" w:rsidRDefault="007C1D26" w:rsidP="006B5E5F">
            <w:pPr>
              <w:pStyle w:val="BodyText"/>
              <w:tabs>
                <w:tab w:val="left" w:pos="360"/>
                <w:tab w:val="left" w:pos="540"/>
                <w:tab w:val="left" w:pos="630"/>
                <w:tab w:val="left" w:pos="1062"/>
              </w:tabs>
              <w:ind w:left="-108" w:right="-108"/>
              <w:jc w:val="center"/>
              <w:rPr>
                <w:sz w:val="20"/>
              </w:rPr>
            </w:pPr>
          </w:p>
        </w:tc>
      </w:tr>
      <w:tr w:rsidR="002C3299" w:rsidRPr="001B7B87">
        <w:tc>
          <w:tcPr>
            <w:tcW w:w="2070" w:type="dxa"/>
            <w:tcBorders>
              <w:right w:val="single" w:sz="4" w:space="0" w:color="auto"/>
            </w:tcBorders>
          </w:tcPr>
          <w:p w:rsidR="002C3299" w:rsidRPr="001B7B87" w:rsidRDefault="002C3299" w:rsidP="006B5E5F">
            <w:pPr>
              <w:pStyle w:val="BodyText"/>
              <w:tabs>
                <w:tab w:val="left" w:pos="360"/>
                <w:tab w:val="left" w:pos="540"/>
                <w:tab w:val="left" w:pos="630"/>
                <w:tab w:val="left" w:pos="1080"/>
              </w:tabs>
              <w:ind w:left="-108" w:right="-108"/>
              <w:jc w:val="left"/>
              <w:rPr>
                <w:sz w:val="20"/>
              </w:rPr>
            </w:pPr>
            <w:r w:rsidRPr="001B7B87">
              <w:rPr>
                <w:sz w:val="20"/>
              </w:rPr>
              <w:t>- USD RCSL</w:t>
            </w:r>
            <w:r>
              <w:rPr>
                <w:sz w:val="20"/>
              </w:rPr>
              <w:t>S</w:t>
            </w:r>
          </w:p>
        </w:tc>
        <w:tc>
          <w:tcPr>
            <w:tcW w:w="1170" w:type="dxa"/>
            <w:tcBorders>
              <w:left w:val="single" w:sz="4" w:space="0" w:color="auto"/>
              <w:right w:val="single" w:sz="4" w:space="0" w:color="auto"/>
            </w:tcBorders>
          </w:tcPr>
          <w:p w:rsidR="002C3299" w:rsidRPr="00CA528C" w:rsidRDefault="002C3299" w:rsidP="002C3299">
            <w:pPr>
              <w:pStyle w:val="BodyText"/>
              <w:tabs>
                <w:tab w:val="left" w:pos="360"/>
                <w:tab w:val="left" w:pos="540"/>
                <w:tab w:val="left" w:pos="630"/>
                <w:tab w:val="left" w:pos="1062"/>
              </w:tabs>
              <w:ind w:left="-108" w:right="-108"/>
              <w:jc w:val="center"/>
              <w:rPr>
                <w:sz w:val="20"/>
              </w:rPr>
            </w:pPr>
            <w:r w:rsidRPr="00CA528C">
              <w:rPr>
                <w:sz w:val="20"/>
              </w:rPr>
              <w:t xml:space="preserve">   </w:t>
            </w:r>
            <w:r>
              <w:rPr>
                <w:sz w:val="20"/>
              </w:rPr>
              <w:t>76,835</w:t>
            </w:r>
          </w:p>
        </w:tc>
        <w:tc>
          <w:tcPr>
            <w:tcW w:w="1890" w:type="dxa"/>
            <w:tcBorders>
              <w:left w:val="single" w:sz="4" w:space="0" w:color="auto"/>
              <w:right w:val="single" w:sz="4" w:space="0" w:color="auto"/>
            </w:tcBorders>
          </w:tcPr>
          <w:p w:rsidR="002C3299" w:rsidRPr="00CA528C" w:rsidRDefault="002C3299" w:rsidP="002C3299">
            <w:pPr>
              <w:pStyle w:val="BodyText"/>
              <w:tabs>
                <w:tab w:val="left" w:pos="360"/>
                <w:tab w:val="left" w:pos="540"/>
                <w:tab w:val="left" w:pos="630"/>
                <w:tab w:val="left" w:pos="1062"/>
              </w:tabs>
              <w:ind w:left="-108" w:right="-108"/>
              <w:jc w:val="center"/>
              <w:rPr>
                <w:sz w:val="20"/>
              </w:rPr>
            </w:pPr>
            <w:r w:rsidRPr="00CA528C">
              <w:rPr>
                <w:sz w:val="20"/>
              </w:rPr>
              <w:t xml:space="preserve">   </w:t>
            </w:r>
            <w:r>
              <w:rPr>
                <w:sz w:val="20"/>
              </w:rPr>
              <w:t>85,277</w:t>
            </w:r>
          </w:p>
        </w:tc>
        <w:tc>
          <w:tcPr>
            <w:tcW w:w="1170" w:type="dxa"/>
            <w:tcBorders>
              <w:left w:val="single" w:sz="4" w:space="0" w:color="auto"/>
              <w:right w:val="single" w:sz="4" w:space="0" w:color="auto"/>
            </w:tcBorders>
          </w:tcPr>
          <w:p w:rsidR="002C3299" w:rsidRPr="00CA528C" w:rsidRDefault="002C3299" w:rsidP="007A6B89">
            <w:pPr>
              <w:pStyle w:val="BodyText"/>
              <w:tabs>
                <w:tab w:val="left" w:pos="360"/>
                <w:tab w:val="left" w:pos="540"/>
                <w:tab w:val="left" w:pos="630"/>
                <w:tab w:val="left" w:pos="1062"/>
              </w:tabs>
              <w:ind w:left="-108" w:right="-108"/>
              <w:jc w:val="center"/>
              <w:rPr>
                <w:sz w:val="20"/>
              </w:rPr>
            </w:pPr>
            <w:r w:rsidRPr="00CA528C">
              <w:rPr>
                <w:sz w:val="20"/>
              </w:rPr>
              <w:t xml:space="preserve">   </w:t>
            </w:r>
            <w:r>
              <w:rPr>
                <w:sz w:val="20"/>
              </w:rPr>
              <w:t>76,835</w:t>
            </w:r>
          </w:p>
        </w:tc>
        <w:tc>
          <w:tcPr>
            <w:tcW w:w="2070" w:type="dxa"/>
            <w:tcBorders>
              <w:left w:val="single" w:sz="4" w:space="0" w:color="auto"/>
              <w:right w:val="single" w:sz="4" w:space="0" w:color="auto"/>
            </w:tcBorders>
          </w:tcPr>
          <w:p w:rsidR="002C3299" w:rsidRPr="00CA528C" w:rsidRDefault="002C3299" w:rsidP="007A6B89">
            <w:pPr>
              <w:pStyle w:val="BodyText"/>
              <w:tabs>
                <w:tab w:val="left" w:pos="360"/>
                <w:tab w:val="left" w:pos="540"/>
                <w:tab w:val="left" w:pos="630"/>
                <w:tab w:val="left" w:pos="1062"/>
              </w:tabs>
              <w:ind w:left="-108" w:right="-108"/>
              <w:jc w:val="center"/>
              <w:rPr>
                <w:sz w:val="20"/>
              </w:rPr>
            </w:pPr>
            <w:r w:rsidRPr="00CA528C">
              <w:rPr>
                <w:sz w:val="20"/>
              </w:rPr>
              <w:t xml:space="preserve">   </w:t>
            </w:r>
            <w:r>
              <w:rPr>
                <w:sz w:val="20"/>
              </w:rPr>
              <w:t>85,277</w:t>
            </w:r>
          </w:p>
        </w:tc>
      </w:tr>
      <w:tr w:rsidR="007C1D26" w:rsidRPr="001B7B87">
        <w:tc>
          <w:tcPr>
            <w:tcW w:w="2070" w:type="dxa"/>
            <w:tcBorders>
              <w:right w:val="single" w:sz="4" w:space="0" w:color="auto"/>
            </w:tcBorders>
          </w:tcPr>
          <w:p w:rsidR="007C1D26" w:rsidRPr="001B7B87" w:rsidRDefault="007C1D26" w:rsidP="006B5E5F">
            <w:pPr>
              <w:pStyle w:val="BodyText"/>
              <w:tabs>
                <w:tab w:val="left" w:pos="360"/>
                <w:tab w:val="left" w:pos="540"/>
                <w:tab w:val="left" w:pos="630"/>
                <w:tab w:val="left" w:pos="1080"/>
              </w:tabs>
              <w:ind w:left="-108" w:right="-108"/>
              <w:jc w:val="left"/>
              <w:rPr>
                <w:sz w:val="20"/>
              </w:rPr>
            </w:pPr>
            <w:r w:rsidRPr="001B7B87">
              <w:rPr>
                <w:sz w:val="20"/>
              </w:rPr>
              <w:t>Weighted average number of ordinary shares in issue and to be issued on conversion of RCSLS (’000)</w:t>
            </w:r>
          </w:p>
        </w:tc>
        <w:tc>
          <w:tcPr>
            <w:tcW w:w="1170" w:type="dxa"/>
            <w:tcBorders>
              <w:top w:val="single" w:sz="8" w:space="0" w:color="auto"/>
              <w:left w:val="single" w:sz="4" w:space="0" w:color="auto"/>
              <w:bottom w:val="single" w:sz="12" w:space="0" w:color="auto"/>
              <w:right w:val="single" w:sz="4" w:space="0" w:color="auto"/>
            </w:tcBorders>
          </w:tcPr>
          <w:p w:rsidR="007C1D26" w:rsidRPr="00CA528C" w:rsidRDefault="007C1D26" w:rsidP="00A21A4D">
            <w:pPr>
              <w:pStyle w:val="BodyText"/>
              <w:tabs>
                <w:tab w:val="left" w:pos="360"/>
                <w:tab w:val="left" w:pos="540"/>
                <w:tab w:val="left" w:pos="630"/>
                <w:tab w:val="left" w:pos="1062"/>
              </w:tabs>
              <w:ind w:left="-108" w:right="-108"/>
              <w:jc w:val="center"/>
              <w:rPr>
                <w:sz w:val="20"/>
              </w:rPr>
            </w:pPr>
          </w:p>
          <w:p w:rsidR="007C1D26" w:rsidRPr="00CA528C" w:rsidRDefault="007C1D26" w:rsidP="00A21A4D">
            <w:pPr>
              <w:pStyle w:val="BodyText"/>
              <w:tabs>
                <w:tab w:val="left" w:pos="360"/>
                <w:tab w:val="left" w:pos="540"/>
                <w:tab w:val="left" w:pos="630"/>
                <w:tab w:val="left" w:pos="1062"/>
              </w:tabs>
              <w:ind w:left="-108" w:right="-108"/>
              <w:jc w:val="center"/>
              <w:rPr>
                <w:sz w:val="20"/>
              </w:rPr>
            </w:pPr>
          </w:p>
          <w:p w:rsidR="007C1D26" w:rsidRPr="00CA528C" w:rsidRDefault="007C1D26" w:rsidP="00A21A4D">
            <w:pPr>
              <w:pStyle w:val="BodyText"/>
              <w:tabs>
                <w:tab w:val="left" w:pos="360"/>
                <w:tab w:val="left" w:pos="540"/>
                <w:tab w:val="left" w:pos="630"/>
                <w:tab w:val="left" w:pos="1062"/>
              </w:tabs>
              <w:ind w:left="-108" w:right="-108"/>
              <w:jc w:val="center"/>
              <w:rPr>
                <w:sz w:val="20"/>
              </w:rPr>
            </w:pPr>
          </w:p>
          <w:p w:rsidR="007C1D26" w:rsidRPr="00CA528C" w:rsidRDefault="007C1D26" w:rsidP="00A21A4D">
            <w:pPr>
              <w:pStyle w:val="BodyText"/>
              <w:tabs>
                <w:tab w:val="left" w:pos="360"/>
                <w:tab w:val="left" w:pos="540"/>
                <w:tab w:val="left" w:pos="630"/>
                <w:tab w:val="left" w:pos="1062"/>
              </w:tabs>
              <w:ind w:left="-108" w:right="-108"/>
              <w:jc w:val="center"/>
              <w:rPr>
                <w:sz w:val="20"/>
              </w:rPr>
            </w:pPr>
          </w:p>
          <w:p w:rsidR="007C1D26" w:rsidRPr="00CA528C" w:rsidRDefault="002C3299" w:rsidP="00A21A4D">
            <w:pPr>
              <w:pStyle w:val="BodyText"/>
              <w:tabs>
                <w:tab w:val="left" w:pos="360"/>
                <w:tab w:val="left" w:pos="540"/>
                <w:tab w:val="left" w:pos="630"/>
                <w:tab w:val="left" w:pos="1062"/>
              </w:tabs>
              <w:ind w:left="-108" w:right="-108"/>
              <w:jc w:val="center"/>
              <w:rPr>
                <w:sz w:val="20"/>
              </w:rPr>
            </w:pPr>
            <w:r>
              <w:rPr>
                <w:sz w:val="20"/>
              </w:rPr>
              <w:t>646,885</w:t>
            </w:r>
          </w:p>
        </w:tc>
        <w:tc>
          <w:tcPr>
            <w:tcW w:w="1890" w:type="dxa"/>
            <w:tcBorders>
              <w:top w:val="single" w:sz="8" w:space="0" w:color="auto"/>
              <w:left w:val="single" w:sz="4" w:space="0" w:color="auto"/>
              <w:bottom w:val="single" w:sz="12" w:space="0" w:color="auto"/>
              <w:right w:val="single" w:sz="4" w:space="0" w:color="auto"/>
            </w:tcBorders>
          </w:tcPr>
          <w:p w:rsidR="007C1D26" w:rsidRPr="00CA528C" w:rsidRDefault="007C1D26" w:rsidP="00A21A4D">
            <w:pPr>
              <w:pStyle w:val="BodyText"/>
              <w:tabs>
                <w:tab w:val="left" w:pos="360"/>
                <w:tab w:val="left" w:pos="540"/>
                <w:tab w:val="left" w:pos="630"/>
                <w:tab w:val="left" w:pos="1062"/>
              </w:tabs>
              <w:ind w:left="-108" w:right="-108"/>
              <w:jc w:val="center"/>
              <w:rPr>
                <w:sz w:val="20"/>
              </w:rPr>
            </w:pPr>
          </w:p>
          <w:p w:rsidR="007C1D26" w:rsidRPr="00CA528C" w:rsidRDefault="007C1D26" w:rsidP="00A21A4D">
            <w:pPr>
              <w:pStyle w:val="BodyText"/>
              <w:tabs>
                <w:tab w:val="left" w:pos="360"/>
                <w:tab w:val="left" w:pos="540"/>
                <w:tab w:val="left" w:pos="630"/>
                <w:tab w:val="left" w:pos="1062"/>
              </w:tabs>
              <w:ind w:left="-108" w:right="-108"/>
              <w:jc w:val="center"/>
              <w:rPr>
                <w:sz w:val="20"/>
              </w:rPr>
            </w:pPr>
          </w:p>
          <w:p w:rsidR="007C1D26" w:rsidRPr="00CA528C" w:rsidRDefault="007C1D26" w:rsidP="00A21A4D">
            <w:pPr>
              <w:pStyle w:val="BodyText"/>
              <w:tabs>
                <w:tab w:val="left" w:pos="360"/>
                <w:tab w:val="left" w:pos="540"/>
                <w:tab w:val="left" w:pos="630"/>
                <w:tab w:val="left" w:pos="1062"/>
              </w:tabs>
              <w:ind w:left="-108" w:right="-108"/>
              <w:jc w:val="center"/>
              <w:rPr>
                <w:sz w:val="20"/>
              </w:rPr>
            </w:pPr>
          </w:p>
          <w:p w:rsidR="007C1D26" w:rsidRPr="00CA528C" w:rsidRDefault="007C1D26" w:rsidP="00A21A4D">
            <w:pPr>
              <w:pStyle w:val="BodyText"/>
              <w:tabs>
                <w:tab w:val="left" w:pos="360"/>
                <w:tab w:val="left" w:pos="540"/>
                <w:tab w:val="left" w:pos="630"/>
                <w:tab w:val="left" w:pos="1062"/>
              </w:tabs>
              <w:ind w:left="-108" w:right="-108"/>
              <w:jc w:val="center"/>
              <w:rPr>
                <w:sz w:val="20"/>
              </w:rPr>
            </w:pPr>
          </w:p>
          <w:p w:rsidR="007C1D26" w:rsidRPr="00CA528C" w:rsidRDefault="007C1D26" w:rsidP="00A21A4D">
            <w:pPr>
              <w:pStyle w:val="BodyText"/>
              <w:tabs>
                <w:tab w:val="left" w:pos="360"/>
                <w:tab w:val="left" w:pos="540"/>
                <w:tab w:val="left" w:pos="630"/>
                <w:tab w:val="left" w:pos="1062"/>
              </w:tabs>
              <w:ind w:left="-108" w:right="-108"/>
              <w:jc w:val="center"/>
              <w:rPr>
                <w:sz w:val="20"/>
              </w:rPr>
            </w:pPr>
            <w:r w:rsidRPr="00CA528C">
              <w:rPr>
                <w:sz w:val="20"/>
              </w:rPr>
              <w:t xml:space="preserve"> </w:t>
            </w:r>
            <w:r>
              <w:rPr>
                <w:sz w:val="20"/>
              </w:rPr>
              <w:t>655,327</w:t>
            </w:r>
          </w:p>
        </w:tc>
        <w:tc>
          <w:tcPr>
            <w:tcW w:w="1170" w:type="dxa"/>
            <w:tcBorders>
              <w:top w:val="single" w:sz="8" w:space="0" w:color="auto"/>
              <w:left w:val="single" w:sz="4" w:space="0" w:color="auto"/>
              <w:bottom w:val="single" w:sz="12" w:space="0" w:color="auto"/>
              <w:right w:val="single" w:sz="4" w:space="0" w:color="auto"/>
            </w:tcBorders>
          </w:tcPr>
          <w:p w:rsidR="007C1D26" w:rsidRPr="00CA528C" w:rsidRDefault="007C1D26" w:rsidP="00286C92">
            <w:pPr>
              <w:pStyle w:val="BodyText"/>
              <w:tabs>
                <w:tab w:val="left" w:pos="360"/>
                <w:tab w:val="left" w:pos="540"/>
                <w:tab w:val="left" w:pos="630"/>
                <w:tab w:val="left" w:pos="1062"/>
              </w:tabs>
              <w:ind w:left="-108" w:right="-108"/>
              <w:jc w:val="center"/>
              <w:rPr>
                <w:sz w:val="20"/>
              </w:rPr>
            </w:pPr>
          </w:p>
          <w:p w:rsidR="007C1D26" w:rsidRPr="00CA528C" w:rsidRDefault="007C1D26" w:rsidP="00286C92">
            <w:pPr>
              <w:pStyle w:val="BodyText"/>
              <w:tabs>
                <w:tab w:val="left" w:pos="360"/>
                <w:tab w:val="left" w:pos="540"/>
                <w:tab w:val="left" w:pos="630"/>
                <w:tab w:val="left" w:pos="1062"/>
              </w:tabs>
              <w:ind w:left="-108" w:right="-108"/>
              <w:jc w:val="center"/>
              <w:rPr>
                <w:sz w:val="20"/>
              </w:rPr>
            </w:pPr>
          </w:p>
          <w:p w:rsidR="007C1D26" w:rsidRPr="00CA528C" w:rsidRDefault="007C1D26" w:rsidP="00286C92">
            <w:pPr>
              <w:pStyle w:val="BodyText"/>
              <w:tabs>
                <w:tab w:val="left" w:pos="360"/>
                <w:tab w:val="left" w:pos="540"/>
                <w:tab w:val="left" w:pos="630"/>
                <w:tab w:val="left" w:pos="1062"/>
              </w:tabs>
              <w:ind w:left="-108" w:right="-108"/>
              <w:jc w:val="center"/>
              <w:rPr>
                <w:sz w:val="20"/>
              </w:rPr>
            </w:pPr>
          </w:p>
          <w:p w:rsidR="007C1D26" w:rsidRPr="00CA528C" w:rsidRDefault="007C1D26" w:rsidP="00286C92">
            <w:pPr>
              <w:pStyle w:val="BodyText"/>
              <w:tabs>
                <w:tab w:val="left" w:pos="360"/>
                <w:tab w:val="left" w:pos="540"/>
                <w:tab w:val="left" w:pos="630"/>
                <w:tab w:val="left" w:pos="1062"/>
              </w:tabs>
              <w:ind w:left="-108" w:right="-108"/>
              <w:jc w:val="center"/>
              <w:rPr>
                <w:sz w:val="20"/>
              </w:rPr>
            </w:pPr>
          </w:p>
          <w:p w:rsidR="007C1D26" w:rsidRPr="00CA528C" w:rsidRDefault="002C3299" w:rsidP="00286C92">
            <w:pPr>
              <w:pStyle w:val="BodyText"/>
              <w:tabs>
                <w:tab w:val="left" w:pos="360"/>
                <w:tab w:val="left" w:pos="540"/>
                <w:tab w:val="left" w:pos="630"/>
                <w:tab w:val="left" w:pos="1062"/>
              </w:tabs>
              <w:ind w:left="-108" w:right="-108"/>
              <w:jc w:val="center"/>
              <w:rPr>
                <w:sz w:val="20"/>
              </w:rPr>
            </w:pPr>
            <w:r>
              <w:rPr>
                <w:sz w:val="20"/>
              </w:rPr>
              <w:t>646,885</w:t>
            </w:r>
          </w:p>
        </w:tc>
        <w:tc>
          <w:tcPr>
            <w:tcW w:w="2070" w:type="dxa"/>
            <w:tcBorders>
              <w:top w:val="single" w:sz="8" w:space="0" w:color="auto"/>
              <w:left w:val="single" w:sz="4" w:space="0" w:color="auto"/>
              <w:bottom w:val="single" w:sz="12" w:space="0" w:color="auto"/>
              <w:right w:val="single" w:sz="4" w:space="0" w:color="auto"/>
            </w:tcBorders>
          </w:tcPr>
          <w:p w:rsidR="007C1D26" w:rsidRPr="00CA528C" w:rsidRDefault="007C1D26" w:rsidP="00A21A4D">
            <w:pPr>
              <w:pStyle w:val="BodyText"/>
              <w:tabs>
                <w:tab w:val="left" w:pos="360"/>
                <w:tab w:val="left" w:pos="540"/>
                <w:tab w:val="left" w:pos="630"/>
                <w:tab w:val="left" w:pos="1062"/>
              </w:tabs>
              <w:ind w:left="-108" w:right="-108"/>
              <w:jc w:val="center"/>
              <w:rPr>
                <w:sz w:val="20"/>
              </w:rPr>
            </w:pPr>
          </w:p>
          <w:p w:rsidR="007C1D26" w:rsidRPr="00CA528C" w:rsidRDefault="007C1D26" w:rsidP="00A21A4D">
            <w:pPr>
              <w:pStyle w:val="BodyText"/>
              <w:tabs>
                <w:tab w:val="left" w:pos="360"/>
                <w:tab w:val="left" w:pos="540"/>
                <w:tab w:val="left" w:pos="630"/>
                <w:tab w:val="left" w:pos="1062"/>
              </w:tabs>
              <w:ind w:left="-108" w:right="-108"/>
              <w:jc w:val="center"/>
              <w:rPr>
                <w:sz w:val="20"/>
              </w:rPr>
            </w:pPr>
          </w:p>
          <w:p w:rsidR="007C1D26" w:rsidRPr="00CA528C" w:rsidRDefault="007C1D26" w:rsidP="00A21A4D">
            <w:pPr>
              <w:pStyle w:val="BodyText"/>
              <w:tabs>
                <w:tab w:val="left" w:pos="360"/>
                <w:tab w:val="left" w:pos="540"/>
                <w:tab w:val="left" w:pos="630"/>
                <w:tab w:val="left" w:pos="1062"/>
              </w:tabs>
              <w:ind w:left="-108" w:right="-108"/>
              <w:jc w:val="center"/>
              <w:rPr>
                <w:sz w:val="20"/>
              </w:rPr>
            </w:pPr>
          </w:p>
          <w:p w:rsidR="007C1D26" w:rsidRPr="00CA528C" w:rsidRDefault="007C1D26" w:rsidP="00A21A4D">
            <w:pPr>
              <w:pStyle w:val="BodyText"/>
              <w:tabs>
                <w:tab w:val="left" w:pos="360"/>
                <w:tab w:val="left" w:pos="540"/>
                <w:tab w:val="left" w:pos="630"/>
                <w:tab w:val="left" w:pos="1062"/>
              </w:tabs>
              <w:ind w:left="-108" w:right="-108"/>
              <w:jc w:val="center"/>
              <w:rPr>
                <w:sz w:val="20"/>
              </w:rPr>
            </w:pPr>
          </w:p>
          <w:p w:rsidR="007C1D26" w:rsidRPr="00CA528C" w:rsidRDefault="007C1D26" w:rsidP="00A21A4D">
            <w:pPr>
              <w:pStyle w:val="BodyText"/>
              <w:tabs>
                <w:tab w:val="left" w:pos="360"/>
                <w:tab w:val="left" w:pos="540"/>
                <w:tab w:val="left" w:pos="630"/>
                <w:tab w:val="left" w:pos="1062"/>
              </w:tabs>
              <w:ind w:left="-108" w:right="-108"/>
              <w:jc w:val="center"/>
              <w:rPr>
                <w:sz w:val="20"/>
              </w:rPr>
            </w:pPr>
            <w:r w:rsidRPr="00CA528C">
              <w:rPr>
                <w:sz w:val="20"/>
              </w:rPr>
              <w:t xml:space="preserve"> </w:t>
            </w:r>
            <w:r>
              <w:rPr>
                <w:sz w:val="20"/>
              </w:rPr>
              <w:t>655,327</w:t>
            </w:r>
          </w:p>
        </w:tc>
      </w:tr>
      <w:tr w:rsidR="007C1D26" w:rsidRPr="001B7B87">
        <w:tc>
          <w:tcPr>
            <w:tcW w:w="2070" w:type="dxa"/>
            <w:tcBorders>
              <w:right w:val="single" w:sz="4" w:space="0" w:color="auto"/>
            </w:tcBorders>
          </w:tcPr>
          <w:p w:rsidR="007C1D26" w:rsidRPr="001B7B87" w:rsidRDefault="007C1D26" w:rsidP="006B5E5F">
            <w:pPr>
              <w:pStyle w:val="BodyText"/>
              <w:tabs>
                <w:tab w:val="left" w:pos="360"/>
                <w:tab w:val="left" w:pos="540"/>
                <w:tab w:val="left" w:pos="630"/>
                <w:tab w:val="left" w:pos="1080"/>
              </w:tabs>
              <w:ind w:left="-108" w:right="-108"/>
              <w:jc w:val="left"/>
              <w:rPr>
                <w:sz w:val="20"/>
              </w:rPr>
            </w:pPr>
          </w:p>
          <w:p w:rsidR="007C1D26" w:rsidRPr="001B7B87" w:rsidRDefault="007C1D26" w:rsidP="006B5E5F">
            <w:pPr>
              <w:pStyle w:val="BodyText"/>
              <w:tabs>
                <w:tab w:val="left" w:pos="360"/>
                <w:tab w:val="left" w:pos="540"/>
                <w:tab w:val="left" w:pos="630"/>
                <w:tab w:val="left" w:pos="1080"/>
              </w:tabs>
              <w:ind w:left="-108" w:right="-108"/>
              <w:jc w:val="left"/>
              <w:rPr>
                <w:sz w:val="20"/>
              </w:rPr>
            </w:pPr>
            <w:r w:rsidRPr="001B7B87">
              <w:rPr>
                <w:sz w:val="20"/>
              </w:rPr>
              <w:t>Di</w:t>
            </w:r>
            <w:r>
              <w:rPr>
                <w:sz w:val="20"/>
              </w:rPr>
              <w:t>luted earnings per share (</w:t>
            </w:r>
            <w:proofErr w:type="spellStart"/>
            <w:r>
              <w:rPr>
                <w:sz w:val="20"/>
              </w:rPr>
              <w:t>sen</w:t>
            </w:r>
            <w:proofErr w:type="spellEnd"/>
            <w:r>
              <w:rPr>
                <w:sz w:val="20"/>
              </w:rPr>
              <w:t xml:space="preserve">) </w:t>
            </w:r>
          </w:p>
        </w:tc>
        <w:tc>
          <w:tcPr>
            <w:tcW w:w="1170" w:type="dxa"/>
            <w:tcBorders>
              <w:top w:val="single" w:sz="12" w:space="0" w:color="auto"/>
              <w:left w:val="single" w:sz="4" w:space="0" w:color="auto"/>
              <w:bottom w:val="single" w:sz="12" w:space="0" w:color="auto"/>
              <w:right w:val="single" w:sz="4" w:space="0" w:color="auto"/>
            </w:tcBorders>
            <w:shd w:val="clear" w:color="auto" w:fill="auto"/>
          </w:tcPr>
          <w:p w:rsidR="007C1D26" w:rsidRPr="00CA528C" w:rsidRDefault="007C1D26" w:rsidP="00A21A4D">
            <w:pPr>
              <w:pStyle w:val="BodyText"/>
              <w:tabs>
                <w:tab w:val="left" w:pos="360"/>
                <w:tab w:val="left" w:pos="540"/>
                <w:tab w:val="left" w:pos="630"/>
                <w:tab w:val="left" w:pos="1062"/>
              </w:tabs>
              <w:ind w:left="-108" w:right="-108"/>
              <w:jc w:val="center"/>
              <w:rPr>
                <w:sz w:val="20"/>
              </w:rPr>
            </w:pPr>
          </w:p>
          <w:p w:rsidR="007C1D26" w:rsidRPr="00CA528C" w:rsidRDefault="007C1D26" w:rsidP="00A21A4D">
            <w:pPr>
              <w:pStyle w:val="BodyText"/>
              <w:tabs>
                <w:tab w:val="left" w:pos="360"/>
                <w:tab w:val="left" w:pos="540"/>
                <w:tab w:val="left" w:pos="630"/>
                <w:tab w:val="left" w:pos="1062"/>
              </w:tabs>
              <w:ind w:left="-108" w:right="-108"/>
              <w:jc w:val="center"/>
              <w:rPr>
                <w:sz w:val="20"/>
              </w:rPr>
            </w:pPr>
          </w:p>
          <w:p w:rsidR="007C1D26" w:rsidRPr="00CA528C" w:rsidRDefault="002C3299" w:rsidP="002C3299">
            <w:pPr>
              <w:pStyle w:val="BodyText"/>
              <w:tabs>
                <w:tab w:val="left" w:pos="360"/>
                <w:tab w:val="left" w:pos="540"/>
                <w:tab w:val="left" w:pos="630"/>
                <w:tab w:val="left" w:pos="1062"/>
              </w:tabs>
              <w:ind w:left="-108" w:right="-108"/>
              <w:jc w:val="center"/>
              <w:rPr>
                <w:sz w:val="20"/>
              </w:rPr>
            </w:pPr>
            <w:r>
              <w:rPr>
                <w:sz w:val="20"/>
              </w:rPr>
              <w:t>1</w:t>
            </w:r>
            <w:r w:rsidR="007C1D26">
              <w:rPr>
                <w:sz w:val="20"/>
              </w:rPr>
              <w:t>.</w:t>
            </w:r>
            <w:r>
              <w:rPr>
                <w:sz w:val="20"/>
              </w:rPr>
              <w:t>1</w:t>
            </w:r>
            <w:r w:rsidR="00E43832">
              <w:rPr>
                <w:sz w:val="20"/>
              </w:rPr>
              <w:t>5</w:t>
            </w:r>
          </w:p>
        </w:tc>
        <w:tc>
          <w:tcPr>
            <w:tcW w:w="1890" w:type="dxa"/>
            <w:tcBorders>
              <w:top w:val="single" w:sz="12" w:space="0" w:color="auto"/>
              <w:left w:val="single" w:sz="4" w:space="0" w:color="auto"/>
              <w:bottom w:val="single" w:sz="12" w:space="0" w:color="auto"/>
              <w:right w:val="single" w:sz="4" w:space="0" w:color="auto"/>
            </w:tcBorders>
            <w:shd w:val="clear" w:color="auto" w:fill="auto"/>
          </w:tcPr>
          <w:p w:rsidR="007C1D26" w:rsidRPr="001B7B87" w:rsidRDefault="007C1D26" w:rsidP="00A21A4D">
            <w:pPr>
              <w:pStyle w:val="BodyText"/>
              <w:tabs>
                <w:tab w:val="left" w:pos="360"/>
                <w:tab w:val="left" w:pos="540"/>
                <w:tab w:val="left" w:pos="630"/>
                <w:tab w:val="left" w:pos="1062"/>
              </w:tabs>
              <w:ind w:left="-108" w:right="-108"/>
              <w:jc w:val="center"/>
              <w:rPr>
                <w:sz w:val="20"/>
              </w:rPr>
            </w:pPr>
          </w:p>
          <w:p w:rsidR="007C1D26" w:rsidRPr="001B7B87" w:rsidRDefault="007C1D26" w:rsidP="00A21A4D">
            <w:pPr>
              <w:pStyle w:val="BodyText"/>
              <w:tabs>
                <w:tab w:val="left" w:pos="360"/>
                <w:tab w:val="left" w:pos="540"/>
                <w:tab w:val="left" w:pos="630"/>
                <w:tab w:val="left" w:pos="1062"/>
              </w:tabs>
              <w:ind w:left="-108" w:right="-108"/>
              <w:jc w:val="center"/>
              <w:rPr>
                <w:sz w:val="20"/>
              </w:rPr>
            </w:pPr>
          </w:p>
          <w:p w:rsidR="007C1D26" w:rsidRPr="001B7B87" w:rsidRDefault="007C1D26" w:rsidP="002C3299">
            <w:pPr>
              <w:pStyle w:val="BodyText"/>
              <w:tabs>
                <w:tab w:val="left" w:pos="360"/>
                <w:tab w:val="left" w:pos="540"/>
                <w:tab w:val="left" w:pos="630"/>
                <w:tab w:val="left" w:pos="1062"/>
              </w:tabs>
              <w:ind w:left="-108" w:right="-108"/>
              <w:jc w:val="center"/>
              <w:rPr>
                <w:sz w:val="20"/>
              </w:rPr>
            </w:pPr>
            <w:r>
              <w:rPr>
                <w:sz w:val="20"/>
              </w:rPr>
              <w:t>5.</w:t>
            </w:r>
            <w:r w:rsidR="002C3299">
              <w:rPr>
                <w:sz w:val="20"/>
              </w:rPr>
              <w:t>77</w:t>
            </w:r>
          </w:p>
        </w:tc>
        <w:tc>
          <w:tcPr>
            <w:tcW w:w="1170" w:type="dxa"/>
            <w:tcBorders>
              <w:top w:val="single" w:sz="12" w:space="0" w:color="auto"/>
              <w:left w:val="single" w:sz="4" w:space="0" w:color="auto"/>
              <w:bottom w:val="single" w:sz="12" w:space="0" w:color="auto"/>
              <w:right w:val="single" w:sz="4" w:space="0" w:color="auto"/>
            </w:tcBorders>
            <w:shd w:val="clear" w:color="auto" w:fill="auto"/>
          </w:tcPr>
          <w:p w:rsidR="007C1D26" w:rsidRPr="00CA528C" w:rsidRDefault="007C1D26" w:rsidP="00286C92">
            <w:pPr>
              <w:pStyle w:val="BodyText"/>
              <w:tabs>
                <w:tab w:val="left" w:pos="360"/>
                <w:tab w:val="left" w:pos="540"/>
                <w:tab w:val="left" w:pos="630"/>
                <w:tab w:val="left" w:pos="1062"/>
              </w:tabs>
              <w:ind w:left="-108" w:right="-108"/>
              <w:jc w:val="center"/>
              <w:rPr>
                <w:sz w:val="20"/>
              </w:rPr>
            </w:pPr>
          </w:p>
          <w:p w:rsidR="007C1D26" w:rsidRPr="00CA528C" w:rsidRDefault="007C1D26" w:rsidP="00286C92">
            <w:pPr>
              <w:pStyle w:val="BodyText"/>
              <w:tabs>
                <w:tab w:val="left" w:pos="360"/>
                <w:tab w:val="left" w:pos="540"/>
                <w:tab w:val="left" w:pos="630"/>
                <w:tab w:val="left" w:pos="1062"/>
              </w:tabs>
              <w:ind w:left="-108" w:right="-108"/>
              <w:jc w:val="center"/>
              <w:rPr>
                <w:sz w:val="20"/>
              </w:rPr>
            </w:pPr>
          </w:p>
          <w:p w:rsidR="007C1D26" w:rsidRPr="00CA528C" w:rsidRDefault="002C3299" w:rsidP="002C3299">
            <w:pPr>
              <w:pStyle w:val="BodyText"/>
              <w:tabs>
                <w:tab w:val="left" w:pos="360"/>
                <w:tab w:val="left" w:pos="540"/>
                <w:tab w:val="left" w:pos="630"/>
                <w:tab w:val="left" w:pos="1062"/>
              </w:tabs>
              <w:ind w:left="-108" w:right="-108"/>
              <w:jc w:val="center"/>
              <w:rPr>
                <w:sz w:val="20"/>
              </w:rPr>
            </w:pPr>
            <w:r>
              <w:rPr>
                <w:sz w:val="20"/>
              </w:rPr>
              <w:t>1</w:t>
            </w:r>
            <w:r w:rsidR="007C1D26">
              <w:rPr>
                <w:sz w:val="20"/>
              </w:rPr>
              <w:t>.</w:t>
            </w:r>
            <w:r>
              <w:rPr>
                <w:sz w:val="20"/>
              </w:rPr>
              <w:t>1</w:t>
            </w:r>
            <w:r w:rsidR="00E43832">
              <w:rPr>
                <w:sz w:val="20"/>
              </w:rPr>
              <w:t>5</w:t>
            </w:r>
          </w:p>
        </w:tc>
        <w:tc>
          <w:tcPr>
            <w:tcW w:w="2070" w:type="dxa"/>
            <w:tcBorders>
              <w:top w:val="single" w:sz="12" w:space="0" w:color="auto"/>
              <w:left w:val="single" w:sz="4" w:space="0" w:color="auto"/>
              <w:bottom w:val="single" w:sz="12" w:space="0" w:color="auto"/>
              <w:right w:val="single" w:sz="4" w:space="0" w:color="auto"/>
            </w:tcBorders>
          </w:tcPr>
          <w:p w:rsidR="007C1D26" w:rsidRPr="001B7B87" w:rsidRDefault="007C1D26" w:rsidP="006B5E5F">
            <w:pPr>
              <w:pStyle w:val="BodyText"/>
              <w:tabs>
                <w:tab w:val="left" w:pos="360"/>
                <w:tab w:val="left" w:pos="540"/>
                <w:tab w:val="left" w:pos="630"/>
                <w:tab w:val="left" w:pos="1062"/>
              </w:tabs>
              <w:ind w:left="-108" w:right="-108"/>
              <w:jc w:val="center"/>
              <w:rPr>
                <w:sz w:val="20"/>
              </w:rPr>
            </w:pPr>
          </w:p>
          <w:p w:rsidR="007C1D26" w:rsidRPr="001B7B87" w:rsidRDefault="007C1D26" w:rsidP="006B5E5F">
            <w:pPr>
              <w:pStyle w:val="BodyText"/>
              <w:tabs>
                <w:tab w:val="left" w:pos="360"/>
                <w:tab w:val="left" w:pos="540"/>
                <w:tab w:val="left" w:pos="630"/>
                <w:tab w:val="left" w:pos="1062"/>
              </w:tabs>
              <w:ind w:left="-108" w:right="-108"/>
              <w:jc w:val="center"/>
              <w:rPr>
                <w:sz w:val="20"/>
              </w:rPr>
            </w:pPr>
          </w:p>
          <w:p w:rsidR="007C1D26" w:rsidRPr="001B7B87" w:rsidRDefault="007C1D26" w:rsidP="002C3299">
            <w:pPr>
              <w:pStyle w:val="BodyText"/>
              <w:tabs>
                <w:tab w:val="left" w:pos="360"/>
                <w:tab w:val="left" w:pos="540"/>
                <w:tab w:val="left" w:pos="630"/>
                <w:tab w:val="left" w:pos="1062"/>
              </w:tabs>
              <w:ind w:left="-108" w:right="-108"/>
              <w:jc w:val="center"/>
              <w:rPr>
                <w:sz w:val="20"/>
              </w:rPr>
            </w:pPr>
            <w:r>
              <w:rPr>
                <w:sz w:val="20"/>
              </w:rPr>
              <w:t>5.</w:t>
            </w:r>
            <w:r w:rsidR="002C3299">
              <w:rPr>
                <w:sz w:val="20"/>
              </w:rPr>
              <w:t>77</w:t>
            </w:r>
          </w:p>
        </w:tc>
      </w:tr>
    </w:tbl>
    <w:p w:rsidR="0059386B" w:rsidRPr="001B7B87" w:rsidRDefault="0059386B" w:rsidP="00491580">
      <w:pPr>
        <w:pStyle w:val="BodyText"/>
        <w:tabs>
          <w:tab w:val="left" w:pos="540"/>
          <w:tab w:val="left" w:pos="630"/>
          <w:tab w:val="left" w:pos="1080"/>
        </w:tabs>
        <w:ind w:left="1080" w:right="-450" w:hanging="1800"/>
        <w:rPr>
          <w:sz w:val="20"/>
        </w:rPr>
      </w:pPr>
    </w:p>
    <w:p w:rsidR="00C468C9" w:rsidRDefault="006B5E5F" w:rsidP="00B13259">
      <w:pPr>
        <w:pStyle w:val="BodyText"/>
        <w:tabs>
          <w:tab w:val="left" w:pos="540"/>
          <w:tab w:val="left" w:pos="630"/>
          <w:tab w:val="left" w:pos="1350"/>
        </w:tabs>
        <w:ind w:left="810" w:hanging="1800"/>
        <w:rPr>
          <w:sz w:val="20"/>
        </w:rPr>
      </w:pPr>
      <w:r w:rsidRPr="001B7B87">
        <w:rPr>
          <w:sz w:val="20"/>
        </w:rPr>
        <w:tab/>
      </w:r>
      <w:r w:rsidRPr="001B7B87">
        <w:rPr>
          <w:sz w:val="20"/>
        </w:rPr>
        <w:tab/>
      </w:r>
      <w:r w:rsidR="00574074" w:rsidRPr="001B7B87">
        <w:rPr>
          <w:sz w:val="20"/>
        </w:rPr>
        <w:t xml:space="preserve">* </w:t>
      </w:r>
      <w:r w:rsidR="00FD6B8E" w:rsidRPr="001B7B87">
        <w:rPr>
          <w:sz w:val="20"/>
        </w:rPr>
        <w:t xml:space="preserve">The </w:t>
      </w:r>
      <w:r w:rsidR="008222B4" w:rsidRPr="001B7B87">
        <w:rPr>
          <w:sz w:val="20"/>
        </w:rPr>
        <w:t>conversion</w:t>
      </w:r>
      <w:r w:rsidR="00FD6B8E" w:rsidRPr="001B7B87">
        <w:rPr>
          <w:sz w:val="20"/>
        </w:rPr>
        <w:t xml:space="preserve"> of warrants </w:t>
      </w:r>
      <w:r w:rsidR="008222B4" w:rsidRPr="001B7B87">
        <w:rPr>
          <w:sz w:val="20"/>
        </w:rPr>
        <w:t>into ordinary shares is anti-dilutive</w:t>
      </w:r>
      <w:r w:rsidR="008C213F">
        <w:rPr>
          <w:sz w:val="20"/>
        </w:rPr>
        <w:t xml:space="preserve"> during the current quarter</w:t>
      </w:r>
      <w:r w:rsidR="009448AF">
        <w:rPr>
          <w:sz w:val="20"/>
        </w:rPr>
        <w:t xml:space="preserve"> and the preceding period,</w:t>
      </w:r>
      <w:r w:rsidR="008222B4" w:rsidRPr="001B7B87">
        <w:rPr>
          <w:sz w:val="20"/>
        </w:rPr>
        <w:t xml:space="preserve"> h</w:t>
      </w:r>
      <w:r w:rsidR="00FD6B8E" w:rsidRPr="001B7B87">
        <w:rPr>
          <w:sz w:val="20"/>
        </w:rPr>
        <w:t xml:space="preserve">ence </w:t>
      </w:r>
      <w:r w:rsidR="00221E21" w:rsidRPr="001B7B87">
        <w:rPr>
          <w:sz w:val="20"/>
        </w:rPr>
        <w:t xml:space="preserve">has been </w:t>
      </w:r>
      <w:r w:rsidR="008222B4" w:rsidRPr="001B7B87">
        <w:rPr>
          <w:sz w:val="20"/>
        </w:rPr>
        <w:t xml:space="preserve">excluded </w:t>
      </w:r>
      <w:r w:rsidR="00574074" w:rsidRPr="001B7B87">
        <w:rPr>
          <w:sz w:val="20"/>
        </w:rPr>
        <w:t>in the calculatio</w:t>
      </w:r>
      <w:r w:rsidR="007E607D">
        <w:rPr>
          <w:sz w:val="20"/>
        </w:rPr>
        <w:t>n of diluted earnings per share</w:t>
      </w:r>
      <w:r w:rsidR="008C213F">
        <w:rPr>
          <w:sz w:val="20"/>
        </w:rPr>
        <w:t>.</w:t>
      </w:r>
    </w:p>
    <w:p w:rsidR="00C21E4B" w:rsidRDefault="00C21E4B" w:rsidP="00B13259">
      <w:pPr>
        <w:pStyle w:val="BodyText"/>
        <w:tabs>
          <w:tab w:val="left" w:pos="540"/>
          <w:tab w:val="left" w:pos="630"/>
          <w:tab w:val="left" w:pos="1350"/>
        </w:tabs>
        <w:ind w:left="810" w:hanging="1800"/>
        <w:rPr>
          <w:sz w:val="20"/>
        </w:rPr>
      </w:pPr>
    </w:p>
    <w:p w:rsidR="00C21E4B" w:rsidRDefault="00C21E4B" w:rsidP="00B13259">
      <w:pPr>
        <w:pStyle w:val="BodyText"/>
        <w:tabs>
          <w:tab w:val="left" w:pos="540"/>
          <w:tab w:val="left" w:pos="630"/>
          <w:tab w:val="left" w:pos="1350"/>
        </w:tabs>
        <w:ind w:left="810" w:hanging="1800"/>
        <w:rPr>
          <w:sz w:val="20"/>
        </w:rPr>
      </w:pPr>
    </w:p>
    <w:p w:rsidR="00C21E4B" w:rsidRDefault="00C21E4B" w:rsidP="00B13259">
      <w:pPr>
        <w:pStyle w:val="BodyText"/>
        <w:tabs>
          <w:tab w:val="left" w:pos="540"/>
          <w:tab w:val="left" w:pos="630"/>
          <w:tab w:val="left" w:pos="1350"/>
        </w:tabs>
        <w:ind w:left="810" w:hanging="1800"/>
        <w:rPr>
          <w:sz w:val="20"/>
        </w:rPr>
      </w:pPr>
    </w:p>
    <w:p w:rsidR="00BC1945" w:rsidRDefault="00BC1945" w:rsidP="00B13259">
      <w:pPr>
        <w:pStyle w:val="BodyText"/>
        <w:tabs>
          <w:tab w:val="left" w:pos="540"/>
          <w:tab w:val="left" w:pos="630"/>
          <w:tab w:val="left" w:pos="1350"/>
        </w:tabs>
        <w:ind w:left="810" w:hanging="1800"/>
        <w:rPr>
          <w:sz w:val="20"/>
        </w:rPr>
      </w:pPr>
    </w:p>
    <w:p w:rsidR="00BC1945" w:rsidRDefault="00BC1945" w:rsidP="00B13259">
      <w:pPr>
        <w:pStyle w:val="BodyText"/>
        <w:tabs>
          <w:tab w:val="left" w:pos="540"/>
          <w:tab w:val="left" w:pos="630"/>
          <w:tab w:val="left" w:pos="1350"/>
        </w:tabs>
        <w:ind w:left="810" w:hanging="1800"/>
        <w:rPr>
          <w:sz w:val="20"/>
        </w:rPr>
      </w:pPr>
    </w:p>
    <w:p w:rsidR="00BC1945" w:rsidRDefault="00BC1945" w:rsidP="00B13259">
      <w:pPr>
        <w:pStyle w:val="BodyText"/>
        <w:tabs>
          <w:tab w:val="left" w:pos="540"/>
          <w:tab w:val="left" w:pos="630"/>
          <w:tab w:val="left" w:pos="1350"/>
        </w:tabs>
        <w:ind w:left="810" w:hanging="1800"/>
        <w:rPr>
          <w:sz w:val="20"/>
        </w:rPr>
      </w:pPr>
    </w:p>
    <w:p w:rsidR="00BC1945" w:rsidRPr="001B7B87" w:rsidRDefault="00BC1945" w:rsidP="00B13259">
      <w:pPr>
        <w:pStyle w:val="BodyText"/>
        <w:tabs>
          <w:tab w:val="left" w:pos="540"/>
          <w:tab w:val="left" w:pos="630"/>
          <w:tab w:val="left" w:pos="1350"/>
        </w:tabs>
        <w:ind w:left="810" w:hanging="1800"/>
        <w:rPr>
          <w:sz w:val="20"/>
        </w:rPr>
      </w:pPr>
    </w:p>
    <w:p w:rsidR="007E1095" w:rsidRPr="007E1095" w:rsidRDefault="007E1095" w:rsidP="007E1095">
      <w:pPr>
        <w:pStyle w:val="BodyText"/>
        <w:tabs>
          <w:tab w:val="left" w:pos="360"/>
          <w:tab w:val="left" w:pos="540"/>
          <w:tab w:val="left" w:pos="630"/>
          <w:tab w:val="left" w:pos="1080"/>
        </w:tabs>
        <w:ind w:left="720" w:right="-450" w:hanging="720"/>
        <w:rPr>
          <w:b/>
          <w:sz w:val="20"/>
        </w:rPr>
      </w:pPr>
      <w:r>
        <w:rPr>
          <w:sz w:val="20"/>
        </w:rPr>
        <w:t>B1</w:t>
      </w:r>
      <w:r w:rsidR="004E6F8B">
        <w:rPr>
          <w:sz w:val="20"/>
        </w:rPr>
        <w:t>4</w:t>
      </w:r>
      <w:r>
        <w:rPr>
          <w:sz w:val="20"/>
        </w:rPr>
        <w:tab/>
      </w:r>
      <w:r>
        <w:rPr>
          <w:sz w:val="20"/>
        </w:rPr>
        <w:tab/>
      </w:r>
      <w:r>
        <w:rPr>
          <w:sz w:val="20"/>
        </w:rPr>
        <w:tab/>
      </w:r>
      <w:proofErr w:type="spellStart"/>
      <w:r>
        <w:rPr>
          <w:b/>
          <w:sz w:val="20"/>
        </w:rPr>
        <w:t>Realised</w:t>
      </w:r>
      <w:proofErr w:type="spellEnd"/>
      <w:r>
        <w:rPr>
          <w:b/>
          <w:sz w:val="20"/>
        </w:rPr>
        <w:t xml:space="preserve"> and </w:t>
      </w:r>
      <w:proofErr w:type="spellStart"/>
      <w:r>
        <w:rPr>
          <w:b/>
          <w:sz w:val="20"/>
        </w:rPr>
        <w:t>Unrealised</w:t>
      </w:r>
      <w:proofErr w:type="spellEnd"/>
      <w:r>
        <w:rPr>
          <w:b/>
          <w:sz w:val="20"/>
        </w:rPr>
        <w:t xml:space="preserve"> Profits/Losses</w:t>
      </w:r>
    </w:p>
    <w:p w:rsidR="00574074" w:rsidRPr="001B7B87" w:rsidRDefault="00574074" w:rsidP="00491580">
      <w:pPr>
        <w:pStyle w:val="BodyText"/>
        <w:tabs>
          <w:tab w:val="left" w:pos="540"/>
          <w:tab w:val="left" w:pos="630"/>
          <w:tab w:val="left" w:pos="1080"/>
        </w:tabs>
        <w:ind w:left="1080" w:right="-450" w:hanging="1800"/>
        <w:rPr>
          <w:sz w:val="20"/>
        </w:rPr>
      </w:pPr>
    </w:p>
    <w:p w:rsidR="004C28D6" w:rsidRDefault="007E1095" w:rsidP="007E1095">
      <w:pPr>
        <w:pStyle w:val="BodyText"/>
        <w:tabs>
          <w:tab w:val="left" w:pos="630"/>
          <w:tab w:val="left" w:pos="720"/>
        </w:tabs>
        <w:ind w:left="630" w:hanging="1800"/>
        <w:rPr>
          <w:sz w:val="20"/>
        </w:rPr>
      </w:pPr>
      <w:r>
        <w:rPr>
          <w:sz w:val="20"/>
        </w:rPr>
        <w:tab/>
        <w:t xml:space="preserve">The breakdown of the retained profits of </w:t>
      </w:r>
      <w:r w:rsidR="004E6F8B">
        <w:rPr>
          <w:sz w:val="20"/>
        </w:rPr>
        <w:t>the Group</w:t>
      </w:r>
      <w:r>
        <w:rPr>
          <w:sz w:val="20"/>
        </w:rPr>
        <w:t xml:space="preserve">, into </w:t>
      </w:r>
      <w:proofErr w:type="spellStart"/>
      <w:r>
        <w:rPr>
          <w:sz w:val="20"/>
        </w:rPr>
        <w:t>realised</w:t>
      </w:r>
      <w:proofErr w:type="spellEnd"/>
      <w:r>
        <w:rPr>
          <w:sz w:val="20"/>
        </w:rPr>
        <w:t xml:space="preserve"> and </w:t>
      </w:r>
      <w:proofErr w:type="spellStart"/>
      <w:r>
        <w:rPr>
          <w:sz w:val="20"/>
        </w:rPr>
        <w:t>unrealised</w:t>
      </w:r>
      <w:proofErr w:type="spellEnd"/>
      <w:r w:rsidR="004E6F8B">
        <w:rPr>
          <w:sz w:val="20"/>
        </w:rPr>
        <w:t xml:space="preserve"> profits, pursuant to the</w:t>
      </w:r>
      <w:r>
        <w:rPr>
          <w:sz w:val="20"/>
        </w:rPr>
        <w:t xml:space="preserve"> directive</w:t>
      </w:r>
      <w:r w:rsidR="00832469">
        <w:rPr>
          <w:sz w:val="20"/>
        </w:rPr>
        <w:t>s</w:t>
      </w:r>
      <w:r>
        <w:rPr>
          <w:sz w:val="20"/>
        </w:rPr>
        <w:t xml:space="preserve"> issued by Bursa Securities on </w:t>
      </w:r>
      <w:r w:rsidR="00832469">
        <w:rPr>
          <w:sz w:val="20"/>
        </w:rPr>
        <w:t xml:space="preserve">25 March 2010 and </w:t>
      </w:r>
      <w:r w:rsidR="004E6F8B">
        <w:rPr>
          <w:sz w:val="20"/>
        </w:rPr>
        <w:t xml:space="preserve">20 December 2010 </w:t>
      </w:r>
      <w:r>
        <w:rPr>
          <w:sz w:val="20"/>
        </w:rPr>
        <w:t>is as follows:</w:t>
      </w:r>
    </w:p>
    <w:p w:rsidR="007E1095" w:rsidRPr="001B7B87" w:rsidRDefault="007E1095" w:rsidP="007E1095">
      <w:pPr>
        <w:pStyle w:val="BodyText"/>
        <w:tabs>
          <w:tab w:val="left" w:pos="630"/>
          <w:tab w:val="left" w:pos="720"/>
        </w:tabs>
        <w:ind w:left="630" w:hanging="1800"/>
        <w:rPr>
          <w:sz w:val="20"/>
        </w:rPr>
      </w:pPr>
    </w:p>
    <w:tbl>
      <w:tblPr>
        <w:tblW w:w="8280" w:type="dxa"/>
        <w:tblInd w:w="1098" w:type="dxa"/>
        <w:tblLayout w:type="fixed"/>
        <w:tblLook w:val="0000"/>
      </w:tblPr>
      <w:tblGrid>
        <w:gridCol w:w="5310"/>
        <w:gridCol w:w="1530"/>
        <w:gridCol w:w="1440"/>
      </w:tblGrid>
      <w:tr w:rsidR="007E1095" w:rsidTr="00BE35B2">
        <w:tc>
          <w:tcPr>
            <w:tcW w:w="5310" w:type="dxa"/>
          </w:tcPr>
          <w:p w:rsidR="007E1095" w:rsidRPr="001B7B87" w:rsidRDefault="007E1095" w:rsidP="007E1095">
            <w:pPr>
              <w:pStyle w:val="BodyText"/>
              <w:tabs>
                <w:tab w:val="left" w:pos="360"/>
                <w:tab w:val="left" w:pos="540"/>
                <w:tab w:val="left" w:pos="630"/>
                <w:tab w:val="left" w:pos="1080"/>
              </w:tabs>
              <w:ind w:right="-450" w:hanging="1800"/>
              <w:rPr>
                <w:sz w:val="20"/>
              </w:rPr>
            </w:pPr>
            <w:r>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7E1095" w:rsidRDefault="00BE35B2" w:rsidP="007E1095">
            <w:pPr>
              <w:pStyle w:val="BodyText"/>
              <w:tabs>
                <w:tab w:val="left" w:pos="360"/>
                <w:tab w:val="left" w:pos="540"/>
                <w:tab w:val="left" w:pos="630"/>
                <w:tab w:val="left" w:pos="1080"/>
              </w:tabs>
              <w:ind w:right="-108" w:hanging="108"/>
              <w:jc w:val="center"/>
              <w:rPr>
                <w:b/>
                <w:sz w:val="18"/>
              </w:rPr>
            </w:pPr>
            <w:r>
              <w:rPr>
                <w:b/>
                <w:sz w:val="18"/>
              </w:rPr>
              <w:t xml:space="preserve">AS AT </w:t>
            </w:r>
            <w:r w:rsidR="00D61CD9">
              <w:rPr>
                <w:b/>
                <w:sz w:val="18"/>
              </w:rPr>
              <w:t xml:space="preserve">                  </w:t>
            </w:r>
            <w:r w:rsidR="00022382">
              <w:rPr>
                <w:b/>
                <w:sz w:val="18"/>
              </w:rPr>
              <w:t>31/</w:t>
            </w:r>
            <w:r w:rsidR="001C3AE6">
              <w:rPr>
                <w:b/>
                <w:sz w:val="18"/>
              </w:rPr>
              <w:t>3</w:t>
            </w:r>
            <w:r w:rsidR="00022382">
              <w:rPr>
                <w:b/>
                <w:sz w:val="18"/>
              </w:rPr>
              <w:t>/</w:t>
            </w:r>
            <w:r w:rsidR="001C3AE6">
              <w:rPr>
                <w:b/>
                <w:sz w:val="18"/>
              </w:rPr>
              <w:t>2011</w:t>
            </w:r>
          </w:p>
          <w:p w:rsidR="00BE35B2" w:rsidRDefault="00BE35B2" w:rsidP="007E1095">
            <w:pPr>
              <w:pStyle w:val="BodyText"/>
              <w:tabs>
                <w:tab w:val="left" w:pos="360"/>
                <w:tab w:val="left" w:pos="540"/>
                <w:tab w:val="left" w:pos="630"/>
                <w:tab w:val="left" w:pos="1080"/>
              </w:tabs>
              <w:ind w:right="-108" w:hanging="108"/>
              <w:jc w:val="center"/>
              <w:rPr>
                <w:b/>
                <w:sz w:val="18"/>
              </w:rPr>
            </w:pPr>
            <w:r>
              <w:rPr>
                <w:b/>
                <w:sz w:val="18"/>
              </w:rPr>
              <w:t>RM’000</w:t>
            </w:r>
          </w:p>
        </w:tc>
        <w:tc>
          <w:tcPr>
            <w:tcW w:w="1440" w:type="dxa"/>
            <w:tcBorders>
              <w:top w:val="single" w:sz="4" w:space="0" w:color="auto"/>
              <w:left w:val="nil"/>
              <w:bottom w:val="single" w:sz="4" w:space="0" w:color="auto"/>
              <w:right w:val="single" w:sz="4" w:space="0" w:color="auto"/>
            </w:tcBorders>
          </w:tcPr>
          <w:p w:rsidR="007E1095" w:rsidRDefault="00BE35B2" w:rsidP="00BE35B2">
            <w:pPr>
              <w:pStyle w:val="BodyText"/>
              <w:tabs>
                <w:tab w:val="left" w:pos="360"/>
                <w:tab w:val="left" w:pos="540"/>
                <w:tab w:val="left" w:pos="702"/>
                <w:tab w:val="left" w:pos="1080"/>
              </w:tabs>
              <w:ind w:right="-108" w:hanging="108"/>
              <w:jc w:val="center"/>
              <w:rPr>
                <w:b/>
                <w:sz w:val="18"/>
              </w:rPr>
            </w:pPr>
            <w:r>
              <w:rPr>
                <w:b/>
                <w:sz w:val="18"/>
              </w:rPr>
              <w:t xml:space="preserve">AS AT </w:t>
            </w:r>
            <w:r w:rsidR="00D61CD9">
              <w:rPr>
                <w:b/>
                <w:sz w:val="18"/>
              </w:rPr>
              <w:t xml:space="preserve">                </w:t>
            </w:r>
            <w:r w:rsidR="001C3AE6">
              <w:rPr>
                <w:b/>
                <w:sz w:val="18"/>
              </w:rPr>
              <w:t>31/12/2010</w:t>
            </w:r>
          </w:p>
          <w:p w:rsidR="00BE35B2" w:rsidRDefault="00BE35B2" w:rsidP="00BE35B2">
            <w:pPr>
              <w:pStyle w:val="BodyText"/>
              <w:tabs>
                <w:tab w:val="left" w:pos="360"/>
                <w:tab w:val="left" w:pos="540"/>
                <w:tab w:val="left" w:pos="702"/>
                <w:tab w:val="left" w:pos="1080"/>
              </w:tabs>
              <w:ind w:right="-108" w:hanging="108"/>
              <w:jc w:val="center"/>
              <w:rPr>
                <w:b/>
                <w:sz w:val="18"/>
              </w:rPr>
            </w:pPr>
            <w:r>
              <w:rPr>
                <w:b/>
                <w:sz w:val="18"/>
              </w:rPr>
              <w:t>RM’000</w:t>
            </w:r>
          </w:p>
        </w:tc>
      </w:tr>
      <w:tr w:rsidR="007E1095" w:rsidRPr="001B7B87" w:rsidTr="00BE35B2">
        <w:tc>
          <w:tcPr>
            <w:tcW w:w="5310" w:type="dxa"/>
            <w:tcBorders>
              <w:right w:val="single" w:sz="4" w:space="0" w:color="auto"/>
            </w:tcBorders>
          </w:tcPr>
          <w:p w:rsidR="007E1095" w:rsidRPr="001B7B87" w:rsidRDefault="007E1095" w:rsidP="007E1095">
            <w:pPr>
              <w:pStyle w:val="BodyText"/>
              <w:tabs>
                <w:tab w:val="left" w:pos="360"/>
                <w:tab w:val="left" w:pos="540"/>
                <w:tab w:val="left" w:pos="630"/>
                <w:tab w:val="left" w:pos="1080"/>
              </w:tabs>
              <w:ind w:right="-450" w:hanging="1800"/>
              <w:rPr>
                <w:sz w:val="20"/>
              </w:rPr>
            </w:pPr>
          </w:p>
        </w:tc>
        <w:tc>
          <w:tcPr>
            <w:tcW w:w="1530" w:type="dxa"/>
            <w:tcBorders>
              <w:top w:val="single" w:sz="4" w:space="0" w:color="auto"/>
              <w:left w:val="single" w:sz="4" w:space="0" w:color="auto"/>
              <w:right w:val="single" w:sz="4" w:space="0" w:color="auto"/>
            </w:tcBorders>
          </w:tcPr>
          <w:p w:rsidR="007E1095" w:rsidRPr="007C1D26" w:rsidRDefault="007E1095" w:rsidP="007E1095">
            <w:pPr>
              <w:pStyle w:val="BodyText"/>
              <w:tabs>
                <w:tab w:val="left" w:pos="360"/>
                <w:tab w:val="left" w:pos="540"/>
                <w:tab w:val="left" w:pos="630"/>
                <w:tab w:val="left" w:pos="1080"/>
              </w:tabs>
              <w:ind w:right="-450" w:hanging="1800"/>
              <w:jc w:val="right"/>
              <w:rPr>
                <w:sz w:val="20"/>
                <w:highlight w:val="yellow"/>
              </w:rPr>
            </w:pPr>
          </w:p>
        </w:tc>
        <w:tc>
          <w:tcPr>
            <w:tcW w:w="1440" w:type="dxa"/>
            <w:tcBorders>
              <w:top w:val="single" w:sz="4" w:space="0" w:color="auto"/>
              <w:left w:val="single" w:sz="4" w:space="0" w:color="auto"/>
              <w:right w:val="single" w:sz="4" w:space="0" w:color="auto"/>
            </w:tcBorders>
          </w:tcPr>
          <w:p w:rsidR="007E1095" w:rsidRPr="007C1D26" w:rsidRDefault="007E1095" w:rsidP="007E1095">
            <w:pPr>
              <w:pStyle w:val="BodyText"/>
              <w:tabs>
                <w:tab w:val="left" w:pos="360"/>
                <w:tab w:val="left" w:pos="540"/>
                <w:tab w:val="left" w:pos="630"/>
                <w:tab w:val="left" w:pos="1080"/>
              </w:tabs>
              <w:ind w:right="-450" w:hanging="1800"/>
              <w:jc w:val="right"/>
              <w:rPr>
                <w:sz w:val="20"/>
                <w:highlight w:val="yellow"/>
              </w:rPr>
            </w:pPr>
          </w:p>
        </w:tc>
      </w:tr>
      <w:tr w:rsidR="007E1095" w:rsidRPr="001B7B87" w:rsidTr="00BE35B2">
        <w:tc>
          <w:tcPr>
            <w:tcW w:w="5310" w:type="dxa"/>
            <w:tcBorders>
              <w:right w:val="single" w:sz="4" w:space="0" w:color="auto"/>
            </w:tcBorders>
          </w:tcPr>
          <w:p w:rsidR="007E1095" w:rsidRPr="001B7B87" w:rsidRDefault="00BE35B2" w:rsidP="00AB0E3B">
            <w:pPr>
              <w:pStyle w:val="BodyText"/>
              <w:tabs>
                <w:tab w:val="left" w:pos="15"/>
                <w:tab w:val="left" w:pos="360"/>
                <w:tab w:val="left" w:pos="540"/>
                <w:tab w:val="left" w:pos="630"/>
                <w:tab w:val="left" w:pos="1080"/>
              </w:tabs>
              <w:ind w:left="-108" w:right="-108"/>
              <w:jc w:val="left"/>
              <w:rPr>
                <w:sz w:val="20"/>
              </w:rPr>
            </w:pPr>
            <w:r>
              <w:rPr>
                <w:sz w:val="20"/>
              </w:rPr>
              <w:t>Total retained profits</w:t>
            </w:r>
            <w:r w:rsidR="004E6F8B">
              <w:rPr>
                <w:sz w:val="20"/>
              </w:rPr>
              <w:t xml:space="preserve"> of </w:t>
            </w:r>
            <w:proofErr w:type="spellStart"/>
            <w:r w:rsidR="004E6F8B">
              <w:rPr>
                <w:sz w:val="20"/>
              </w:rPr>
              <w:t>MBfH</w:t>
            </w:r>
            <w:proofErr w:type="spellEnd"/>
            <w:r>
              <w:rPr>
                <w:sz w:val="20"/>
              </w:rPr>
              <w:t xml:space="preserve"> and its subsidiaries</w:t>
            </w:r>
          </w:p>
        </w:tc>
        <w:tc>
          <w:tcPr>
            <w:tcW w:w="1530" w:type="dxa"/>
            <w:tcBorders>
              <w:left w:val="single" w:sz="4" w:space="0" w:color="auto"/>
              <w:right w:val="single" w:sz="4" w:space="0" w:color="auto"/>
            </w:tcBorders>
          </w:tcPr>
          <w:p w:rsidR="007E1095" w:rsidRPr="007C1D26" w:rsidRDefault="007E1095" w:rsidP="007E1095">
            <w:pPr>
              <w:pStyle w:val="BodyText"/>
              <w:tabs>
                <w:tab w:val="left" w:pos="360"/>
                <w:tab w:val="left" w:pos="540"/>
                <w:tab w:val="left" w:pos="630"/>
                <w:tab w:val="left" w:pos="1062"/>
              </w:tabs>
              <w:ind w:left="-108" w:right="-108"/>
              <w:jc w:val="center"/>
              <w:rPr>
                <w:sz w:val="20"/>
                <w:highlight w:val="yellow"/>
              </w:rPr>
            </w:pPr>
          </w:p>
        </w:tc>
        <w:tc>
          <w:tcPr>
            <w:tcW w:w="1440" w:type="dxa"/>
            <w:tcBorders>
              <w:left w:val="single" w:sz="4" w:space="0" w:color="auto"/>
              <w:right w:val="single" w:sz="4" w:space="0" w:color="auto"/>
            </w:tcBorders>
          </w:tcPr>
          <w:p w:rsidR="007E1095" w:rsidRPr="007C1D26" w:rsidRDefault="007E1095" w:rsidP="007E1095">
            <w:pPr>
              <w:pStyle w:val="BodyText"/>
              <w:tabs>
                <w:tab w:val="left" w:pos="360"/>
                <w:tab w:val="left" w:pos="540"/>
                <w:tab w:val="left" w:pos="630"/>
                <w:tab w:val="left" w:pos="1062"/>
              </w:tabs>
              <w:ind w:left="-108" w:right="-108"/>
              <w:jc w:val="center"/>
              <w:rPr>
                <w:sz w:val="20"/>
                <w:highlight w:val="yellow"/>
              </w:rPr>
            </w:pPr>
          </w:p>
        </w:tc>
      </w:tr>
      <w:tr w:rsidR="007E1095" w:rsidRPr="001B7B87" w:rsidTr="009669BC">
        <w:tc>
          <w:tcPr>
            <w:tcW w:w="5310" w:type="dxa"/>
            <w:tcBorders>
              <w:right w:val="single" w:sz="4" w:space="0" w:color="auto"/>
            </w:tcBorders>
          </w:tcPr>
          <w:p w:rsidR="007E1095" w:rsidRPr="001B7B87" w:rsidRDefault="009669BC" w:rsidP="009669BC">
            <w:pPr>
              <w:pStyle w:val="BodyText"/>
              <w:numPr>
                <w:ilvl w:val="0"/>
                <w:numId w:val="3"/>
              </w:numPr>
              <w:tabs>
                <w:tab w:val="left" w:pos="360"/>
                <w:tab w:val="left" w:pos="540"/>
                <w:tab w:val="left" w:pos="630"/>
                <w:tab w:val="left" w:pos="1080"/>
              </w:tabs>
              <w:ind w:right="-108"/>
              <w:jc w:val="left"/>
              <w:rPr>
                <w:sz w:val="20"/>
              </w:rPr>
            </w:pPr>
            <w:proofErr w:type="spellStart"/>
            <w:r>
              <w:rPr>
                <w:sz w:val="20"/>
              </w:rPr>
              <w:t>Realised</w:t>
            </w:r>
            <w:proofErr w:type="spellEnd"/>
            <w:r>
              <w:rPr>
                <w:sz w:val="20"/>
              </w:rPr>
              <w:t xml:space="preserve"> </w:t>
            </w:r>
          </w:p>
        </w:tc>
        <w:tc>
          <w:tcPr>
            <w:tcW w:w="1530" w:type="dxa"/>
            <w:tcBorders>
              <w:left w:val="single" w:sz="4" w:space="0" w:color="auto"/>
              <w:right w:val="single" w:sz="4" w:space="0" w:color="auto"/>
            </w:tcBorders>
          </w:tcPr>
          <w:p w:rsidR="007E1095" w:rsidRPr="001C3AE6" w:rsidRDefault="00022382" w:rsidP="001C3AE6">
            <w:pPr>
              <w:pStyle w:val="BodyText"/>
              <w:tabs>
                <w:tab w:val="left" w:pos="360"/>
                <w:tab w:val="left" w:pos="540"/>
                <w:tab w:val="left" w:pos="630"/>
                <w:tab w:val="left" w:pos="1062"/>
              </w:tabs>
              <w:ind w:left="-108" w:right="-108"/>
              <w:jc w:val="center"/>
              <w:rPr>
                <w:sz w:val="20"/>
              </w:rPr>
            </w:pPr>
            <w:r w:rsidRPr="001C3AE6">
              <w:rPr>
                <w:sz w:val="20"/>
              </w:rPr>
              <w:t xml:space="preserve">  1,</w:t>
            </w:r>
            <w:r w:rsidR="001C3AE6" w:rsidRPr="001C3AE6">
              <w:rPr>
                <w:sz w:val="20"/>
              </w:rPr>
              <w:t>209</w:t>
            </w:r>
          </w:p>
        </w:tc>
        <w:tc>
          <w:tcPr>
            <w:tcW w:w="1440" w:type="dxa"/>
            <w:tcBorders>
              <w:left w:val="single" w:sz="4" w:space="0" w:color="auto"/>
              <w:right w:val="single" w:sz="4" w:space="0" w:color="auto"/>
            </w:tcBorders>
          </w:tcPr>
          <w:p w:rsidR="007E1095" w:rsidRPr="001C3AE6" w:rsidRDefault="001C3AE6" w:rsidP="001C3AE6">
            <w:pPr>
              <w:pStyle w:val="BodyText"/>
              <w:tabs>
                <w:tab w:val="left" w:pos="360"/>
                <w:tab w:val="left" w:pos="540"/>
                <w:tab w:val="left" w:pos="630"/>
                <w:tab w:val="left" w:pos="1062"/>
              </w:tabs>
              <w:ind w:left="-108" w:right="-108"/>
              <w:jc w:val="center"/>
              <w:rPr>
                <w:sz w:val="20"/>
              </w:rPr>
            </w:pPr>
            <w:r w:rsidRPr="001C3AE6">
              <w:rPr>
                <w:sz w:val="20"/>
              </w:rPr>
              <w:t>(3,754)</w:t>
            </w:r>
          </w:p>
        </w:tc>
      </w:tr>
      <w:tr w:rsidR="007E1095" w:rsidRPr="001B7B87" w:rsidTr="009669BC">
        <w:tc>
          <w:tcPr>
            <w:tcW w:w="5310" w:type="dxa"/>
            <w:tcBorders>
              <w:right w:val="single" w:sz="4" w:space="0" w:color="auto"/>
            </w:tcBorders>
          </w:tcPr>
          <w:p w:rsidR="007E1095" w:rsidRPr="001B7B87" w:rsidRDefault="009669BC" w:rsidP="009669BC">
            <w:pPr>
              <w:pStyle w:val="BodyText"/>
              <w:numPr>
                <w:ilvl w:val="0"/>
                <w:numId w:val="3"/>
              </w:numPr>
              <w:tabs>
                <w:tab w:val="left" w:pos="360"/>
                <w:tab w:val="left" w:pos="540"/>
                <w:tab w:val="left" w:pos="630"/>
                <w:tab w:val="left" w:pos="1080"/>
              </w:tabs>
              <w:ind w:right="-108"/>
              <w:jc w:val="left"/>
              <w:rPr>
                <w:sz w:val="20"/>
              </w:rPr>
            </w:pPr>
            <w:proofErr w:type="spellStart"/>
            <w:r>
              <w:rPr>
                <w:sz w:val="20"/>
              </w:rPr>
              <w:t>Unrealised</w:t>
            </w:r>
            <w:proofErr w:type="spellEnd"/>
          </w:p>
        </w:tc>
        <w:tc>
          <w:tcPr>
            <w:tcW w:w="1530" w:type="dxa"/>
            <w:tcBorders>
              <w:left w:val="single" w:sz="4" w:space="0" w:color="auto"/>
              <w:bottom w:val="single" w:sz="4" w:space="0" w:color="auto"/>
              <w:right w:val="single" w:sz="4" w:space="0" w:color="auto"/>
            </w:tcBorders>
          </w:tcPr>
          <w:p w:rsidR="007E1095" w:rsidRPr="001C3AE6" w:rsidRDefault="00022382" w:rsidP="001C3AE6">
            <w:pPr>
              <w:pStyle w:val="BodyText"/>
              <w:tabs>
                <w:tab w:val="left" w:pos="360"/>
                <w:tab w:val="left" w:pos="540"/>
                <w:tab w:val="left" w:pos="630"/>
                <w:tab w:val="left" w:pos="1062"/>
              </w:tabs>
              <w:ind w:left="-108" w:right="-108"/>
              <w:jc w:val="center"/>
              <w:rPr>
                <w:sz w:val="20"/>
              </w:rPr>
            </w:pPr>
            <w:r w:rsidRPr="001C3AE6">
              <w:rPr>
                <w:sz w:val="20"/>
              </w:rPr>
              <w:t>1</w:t>
            </w:r>
            <w:r w:rsidR="001C3AE6" w:rsidRPr="001C3AE6">
              <w:rPr>
                <w:sz w:val="20"/>
              </w:rPr>
              <w:t>8</w:t>
            </w:r>
            <w:r w:rsidRPr="001C3AE6">
              <w:rPr>
                <w:sz w:val="20"/>
              </w:rPr>
              <w:t>,</w:t>
            </w:r>
            <w:r w:rsidR="001C3AE6" w:rsidRPr="001C3AE6">
              <w:rPr>
                <w:sz w:val="20"/>
              </w:rPr>
              <w:t>918</w:t>
            </w:r>
          </w:p>
        </w:tc>
        <w:tc>
          <w:tcPr>
            <w:tcW w:w="1440" w:type="dxa"/>
            <w:tcBorders>
              <w:left w:val="single" w:sz="4" w:space="0" w:color="auto"/>
              <w:bottom w:val="single" w:sz="4" w:space="0" w:color="auto"/>
              <w:right w:val="single" w:sz="4" w:space="0" w:color="auto"/>
            </w:tcBorders>
          </w:tcPr>
          <w:p w:rsidR="007E1095" w:rsidRPr="001C3AE6" w:rsidRDefault="001C3AE6" w:rsidP="001C3AE6">
            <w:pPr>
              <w:pStyle w:val="BodyText"/>
              <w:tabs>
                <w:tab w:val="left" w:pos="360"/>
                <w:tab w:val="left" w:pos="540"/>
                <w:tab w:val="left" w:pos="630"/>
                <w:tab w:val="left" w:pos="1062"/>
              </w:tabs>
              <w:ind w:left="-108" w:right="-108"/>
              <w:rPr>
                <w:sz w:val="20"/>
              </w:rPr>
            </w:pPr>
            <w:r w:rsidRPr="001C3AE6">
              <w:rPr>
                <w:sz w:val="20"/>
              </w:rPr>
              <w:t xml:space="preserve">       17,304</w:t>
            </w:r>
          </w:p>
        </w:tc>
      </w:tr>
      <w:tr w:rsidR="007E1095" w:rsidRPr="001B7B87" w:rsidTr="009669BC">
        <w:tc>
          <w:tcPr>
            <w:tcW w:w="5310" w:type="dxa"/>
            <w:tcBorders>
              <w:right w:val="single" w:sz="4" w:space="0" w:color="auto"/>
            </w:tcBorders>
          </w:tcPr>
          <w:p w:rsidR="007E1095" w:rsidRPr="001B7B87" w:rsidRDefault="007E1095" w:rsidP="007E1095">
            <w:pPr>
              <w:pStyle w:val="BodyText"/>
              <w:tabs>
                <w:tab w:val="left" w:pos="360"/>
                <w:tab w:val="left" w:pos="540"/>
                <w:tab w:val="left" w:pos="630"/>
                <w:tab w:val="left" w:pos="1080"/>
              </w:tabs>
              <w:ind w:left="-108" w:right="-108"/>
              <w:jc w:val="left"/>
              <w:rPr>
                <w:sz w:val="20"/>
              </w:rPr>
            </w:pPr>
          </w:p>
        </w:tc>
        <w:tc>
          <w:tcPr>
            <w:tcW w:w="1530" w:type="dxa"/>
            <w:tcBorders>
              <w:top w:val="single" w:sz="4" w:space="0" w:color="auto"/>
              <w:left w:val="single" w:sz="4" w:space="0" w:color="auto"/>
              <w:right w:val="single" w:sz="4" w:space="0" w:color="auto"/>
            </w:tcBorders>
          </w:tcPr>
          <w:p w:rsidR="007E1095" w:rsidRPr="001C3AE6" w:rsidRDefault="001C3AE6" w:rsidP="007E1095">
            <w:pPr>
              <w:pStyle w:val="BodyText"/>
              <w:tabs>
                <w:tab w:val="left" w:pos="360"/>
                <w:tab w:val="left" w:pos="540"/>
                <w:tab w:val="left" w:pos="630"/>
                <w:tab w:val="left" w:pos="1062"/>
              </w:tabs>
              <w:ind w:left="-108" w:right="-108"/>
              <w:jc w:val="center"/>
              <w:rPr>
                <w:sz w:val="20"/>
              </w:rPr>
            </w:pPr>
            <w:r w:rsidRPr="001C3AE6">
              <w:rPr>
                <w:sz w:val="20"/>
              </w:rPr>
              <w:t>20,127</w:t>
            </w:r>
          </w:p>
        </w:tc>
        <w:tc>
          <w:tcPr>
            <w:tcW w:w="1440" w:type="dxa"/>
            <w:tcBorders>
              <w:top w:val="single" w:sz="4" w:space="0" w:color="auto"/>
              <w:left w:val="single" w:sz="4" w:space="0" w:color="auto"/>
              <w:right w:val="single" w:sz="4" w:space="0" w:color="auto"/>
            </w:tcBorders>
          </w:tcPr>
          <w:p w:rsidR="007E1095" w:rsidRPr="001C3AE6" w:rsidRDefault="001C3AE6" w:rsidP="001C3AE6">
            <w:pPr>
              <w:pStyle w:val="BodyText"/>
              <w:tabs>
                <w:tab w:val="left" w:pos="360"/>
                <w:tab w:val="left" w:pos="540"/>
                <w:tab w:val="left" w:pos="630"/>
                <w:tab w:val="left" w:pos="1062"/>
              </w:tabs>
              <w:ind w:left="-108" w:right="-108"/>
              <w:rPr>
                <w:sz w:val="20"/>
              </w:rPr>
            </w:pPr>
            <w:r w:rsidRPr="001C3AE6">
              <w:rPr>
                <w:sz w:val="20"/>
              </w:rPr>
              <w:t xml:space="preserve">       13</w:t>
            </w:r>
            <w:r w:rsidR="00022382" w:rsidRPr="001C3AE6">
              <w:rPr>
                <w:sz w:val="20"/>
              </w:rPr>
              <w:t>,</w:t>
            </w:r>
            <w:r w:rsidRPr="001C3AE6">
              <w:rPr>
                <w:sz w:val="20"/>
              </w:rPr>
              <w:t>550</w:t>
            </w:r>
          </w:p>
        </w:tc>
      </w:tr>
      <w:tr w:rsidR="007E1095" w:rsidRPr="001B7B87" w:rsidTr="009669BC">
        <w:tc>
          <w:tcPr>
            <w:tcW w:w="5310" w:type="dxa"/>
            <w:tcBorders>
              <w:right w:val="single" w:sz="4" w:space="0" w:color="auto"/>
            </w:tcBorders>
          </w:tcPr>
          <w:p w:rsidR="007E1095" w:rsidRPr="001B7B87" w:rsidRDefault="007E1095" w:rsidP="007E1095">
            <w:pPr>
              <w:pStyle w:val="BodyText"/>
              <w:tabs>
                <w:tab w:val="left" w:pos="360"/>
                <w:tab w:val="left" w:pos="540"/>
                <w:tab w:val="left" w:pos="630"/>
                <w:tab w:val="left" w:pos="1080"/>
              </w:tabs>
              <w:ind w:left="-108" w:right="-108"/>
              <w:jc w:val="left"/>
              <w:rPr>
                <w:sz w:val="20"/>
              </w:rPr>
            </w:pPr>
          </w:p>
        </w:tc>
        <w:tc>
          <w:tcPr>
            <w:tcW w:w="1530" w:type="dxa"/>
            <w:tcBorders>
              <w:left w:val="single" w:sz="4" w:space="0" w:color="auto"/>
              <w:right w:val="single" w:sz="4" w:space="0" w:color="auto"/>
            </w:tcBorders>
          </w:tcPr>
          <w:p w:rsidR="007E1095" w:rsidRPr="001C3AE6" w:rsidRDefault="007E1095" w:rsidP="007E1095">
            <w:pPr>
              <w:pStyle w:val="BodyText"/>
              <w:tabs>
                <w:tab w:val="left" w:pos="360"/>
                <w:tab w:val="left" w:pos="540"/>
                <w:tab w:val="left" w:pos="630"/>
                <w:tab w:val="left" w:pos="1062"/>
              </w:tabs>
              <w:ind w:left="-108" w:right="-108"/>
              <w:jc w:val="center"/>
              <w:rPr>
                <w:sz w:val="20"/>
              </w:rPr>
            </w:pPr>
          </w:p>
        </w:tc>
        <w:tc>
          <w:tcPr>
            <w:tcW w:w="1440" w:type="dxa"/>
            <w:tcBorders>
              <w:left w:val="single" w:sz="4" w:space="0" w:color="auto"/>
              <w:right w:val="single" w:sz="4" w:space="0" w:color="auto"/>
            </w:tcBorders>
          </w:tcPr>
          <w:p w:rsidR="007E1095" w:rsidRPr="001C3AE6" w:rsidRDefault="007E1095" w:rsidP="007E1095">
            <w:pPr>
              <w:pStyle w:val="BodyText"/>
              <w:tabs>
                <w:tab w:val="left" w:pos="360"/>
                <w:tab w:val="left" w:pos="540"/>
                <w:tab w:val="left" w:pos="630"/>
                <w:tab w:val="left" w:pos="1062"/>
              </w:tabs>
              <w:ind w:left="-108" w:right="-108"/>
              <w:jc w:val="center"/>
              <w:rPr>
                <w:sz w:val="20"/>
              </w:rPr>
            </w:pPr>
          </w:p>
        </w:tc>
      </w:tr>
      <w:tr w:rsidR="007E1095" w:rsidRPr="00CA528C" w:rsidTr="009669BC">
        <w:tc>
          <w:tcPr>
            <w:tcW w:w="5310" w:type="dxa"/>
            <w:tcBorders>
              <w:right w:val="single" w:sz="4" w:space="0" w:color="auto"/>
            </w:tcBorders>
          </w:tcPr>
          <w:p w:rsidR="007E1095" w:rsidRPr="001B7B87" w:rsidRDefault="009669BC" w:rsidP="007E1095">
            <w:pPr>
              <w:pStyle w:val="BodyText"/>
              <w:tabs>
                <w:tab w:val="left" w:pos="360"/>
                <w:tab w:val="left" w:pos="540"/>
                <w:tab w:val="left" w:pos="630"/>
                <w:tab w:val="left" w:pos="1080"/>
              </w:tabs>
              <w:ind w:left="-108" w:right="-108"/>
              <w:jc w:val="left"/>
              <w:rPr>
                <w:sz w:val="20"/>
              </w:rPr>
            </w:pPr>
            <w:r>
              <w:rPr>
                <w:sz w:val="20"/>
              </w:rPr>
              <w:t>Total share of retai</w:t>
            </w:r>
            <w:r w:rsidR="00200B5D">
              <w:rPr>
                <w:sz w:val="20"/>
              </w:rPr>
              <w:t>ned profits</w:t>
            </w:r>
            <w:r>
              <w:rPr>
                <w:sz w:val="20"/>
              </w:rPr>
              <w:t xml:space="preserve"> from associated companies:</w:t>
            </w:r>
          </w:p>
        </w:tc>
        <w:tc>
          <w:tcPr>
            <w:tcW w:w="1530" w:type="dxa"/>
            <w:tcBorders>
              <w:left w:val="single" w:sz="4" w:space="0" w:color="auto"/>
              <w:right w:val="single" w:sz="4" w:space="0" w:color="auto"/>
            </w:tcBorders>
          </w:tcPr>
          <w:p w:rsidR="007E1095" w:rsidRPr="001C3AE6" w:rsidRDefault="007E1095" w:rsidP="007E1095">
            <w:pPr>
              <w:pStyle w:val="BodyText"/>
              <w:tabs>
                <w:tab w:val="left" w:pos="360"/>
                <w:tab w:val="left" w:pos="540"/>
                <w:tab w:val="left" w:pos="630"/>
                <w:tab w:val="left" w:pos="1062"/>
              </w:tabs>
              <w:ind w:left="-108" w:right="-108"/>
              <w:jc w:val="center"/>
              <w:rPr>
                <w:sz w:val="20"/>
              </w:rPr>
            </w:pPr>
          </w:p>
        </w:tc>
        <w:tc>
          <w:tcPr>
            <w:tcW w:w="1440" w:type="dxa"/>
            <w:tcBorders>
              <w:left w:val="single" w:sz="4" w:space="0" w:color="auto"/>
              <w:right w:val="single" w:sz="4" w:space="0" w:color="auto"/>
            </w:tcBorders>
          </w:tcPr>
          <w:p w:rsidR="007E1095" w:rsidRPr="001C3AE6" w:rsidRDefault="007E1095" w:rsidP="007E1095">
            <w:pPr>
              <w:pStyle w:val="BodyText"/>
              <w:tabs>
                <w:tab w:val="left" w:pos="360"/>
                <w:tab w:val="left" w:pos="540"/>
                <w:tab w:val="left" w:pos="630"/>
                <w:tab w:val="left" w:pos="1062"/>
              </w:tabs>
              <w:ind w:left="-108" w:right="-108"/>
              <w:jc w:val="center"/>
              <w:rPr>
                <w:sz w:val="20"/>
              </w:rPr>
            </w:pPr>
          </w:p>
        </w:tc>
      </w:tr>
      <w:tr w:rsidR="007E1095" w:rsidRPr="001B7B87" w:rsidTr="009669BC">
        <w:tc>
          <w:tcPr>
            <w:tcW w:w="5310" w:type="dxa"/>
            <w:tcBorders>
              <w:right w:val="single" w:sz="4" w:space="0" w:color="auto"/>
            </w:tcBorders>
          </w:tcPr>
          <w:p w:rsidR="007E1095" w:rsidRPr="001B7B87" w:rsidRDefault="009669BC" w:rsidP="009669BC">
            <w:pPr>
              <w:pStyle w:val="BodyText"/>
              <w:numPr>
                <w:ilvl w:val="0"/>
                <w:numId w:val="3"/>
              </w:numPr>
              <w:tabs>
                <w:tab w:val="left" w:pos="360"/>
                <w:tab w:val="left" w:pos="540"/>
                <w:tab w:val="left" w:pos="630"/>
                <w:tab w:val="left" w:pos="1080"/>
              </w:tabs>
              <w:ind w:right="-108"/>
              <w:jc w:val="left"/>
              <w:rPr>
                <w:sz w:val="20"/>
              </w:rPr>
            </w:pPr>
            <w:proofErr w:type="spellStart"/>
            <w:r>
              <w:rPr>
                <w:sz w:val="20"/>
              </w:rPr>
              <w:t>Realised</w:t>
            </w:r>
            <w:proofErr w:type="spellEnd"/>
          </w:p>
        </w:tc>
        <w:tc>
          <w:tcPr>
            <w:tcW w:w="1530" w:type="dxa"/>
            <w:tcBorders>
              <w:left w:val="single" w:sz="4" w:space="0" w:color="auto"/>
              <w:right w:val="single" w:sz="4" w:space="0" w:color="auto"/>
            </w:tcBorders>
          </w:tcPr>
          <w:p w:rsidR="007E1095" w:rsidRDefault="00B821B9" w:rsidP="007E1095">
            <w:pPr>
              <w:pStyle w:val="BodyText"/>
              <w:tabs>
                <w:tab w:val="left" w:pos="360"/>
                <w:tab w:val="left" w:pos="540"/>
                <w:tab w:val="left" w:pos="630"/>
                <w:tab w:val="left" w:pos="1062"/>
              </w:tabs>
              <w:ind w:left="-108" w:right="-108"/>
              <w:jc w:val="center"/>
              <w:rPr>
                <w:sz w:val="20"/>
              </w:rPr>
            </w:pPr>
            <w:r w:rsidRPr="001C3AE6">
              <w:rPr>
                <w:sz w:val="20"/>
              </w:rPr>
              <w:t xml:space="preserve">  </w:t>
            </w:r>
            <w:r w:rsidR="001C3AE6" w:rsidRPr="001C3AE6">
              <w:rPr>
                <w:sz w:val="20"/>
              </w:rPr>
              <w:t>2,335</w:t>
            </w:r>
          </w:p>
          <w:p w:rsidR="00BC1945" w:rsidRPr="001C3AE6" w:rsidRDefault="00BC1945" w:rsidP="007E1095">
            <w:pPr>
              <w:pStyle w:val="BodyText"/>
              <w:tabs>
                <w:tab w:val="left" w:pos="360"/>
                <w:tab w:val="left" w:pos="540"/>
                <w:tab w:val="left" w:pos="630"/>
                <w:tab w:val="left" w:pos="1062"/>
              </w:tabs>
              <w:ind w:left="-108" w:right="-108"/>
              <w:jc w:val="center"/>
              <w:rPr>
                <w:sz w:val="20"/>
              </w:rPr>
            </w:pPr>
          </w:p>
        </w:tc>
        <w:tc>
          <w:tcPr>
            <w:tcW w:w="1440" w:type="dxa"/>
            <w:tcBorders>
              <w:left w:val="single" w:sz="4" w:space="0" w:color="auto"/>
              <w:right w:val="single" w:sz="4" w:space="0" w:color="auto"/>
            </w:tcBorders>
          </w:tcPr>
          <w:p w:rsidR="007E1095" w:rsidRPr="001C3AE6" w:rsidRDefault="00022382" w:rsidP="001C3AE6">
            <w:pPr>
              <w:pStyle w:val="BodyText"/>
              <w:tabs>
                <w:tab w:val="left" w:pos="360"/>
                <w:tab w:val="left" w:pos="540"/>
                <w:tab w:val="left" w:pos="630"/>
                <w:tab w:val="left" w:pos="1062"/>
              </w:tabs>
              <w:ind w:left="-108" w:right="-108"/>
              <w:jc w:val="center"/>
              <w:rPr>
                <w:sz w:val="20"/>
              </w:rPr>
            </w:pPr>
            <w:r w:rsidRPr="001C3AE6">
              <w:rPr>
                <w:sz w:val="20"/>
              </w:rPr>
              <w:t>1,</w:t>
            </w:r>
            <w:r w:rsidR="001C3AE6" w:rsidRPr="001C3AE6">
              <w:rPr>
                <w:sz w:val="20"/>
              </w:rPr>
              <w:t>831</w:t>
            </w:r>
          </w:p>
        </w:tc>
      </w:tr>
      <w:tr w:rsidR="00925D7B" w:rsidRPr="001B7B87" w:rsidTr="00022382">
        <w:tc>
          <w:tcPr>
            <w:tcW w:w="5310" w:type="dxa"/>
            <w:tcBorders>
              <w:right w:val="single" w:sz="4" w:space="0" w:color="auto"/>
            </w:tcBorders>
          </w:tcPr>
          <w:p w:rsidR="00925D7B" w:rsidRPr="001B7B87" w:rsidRDefault="00832469" w:rsidP="00832469">
            <w:pPr>
              <w:pStyle w:val="BodyText"/>
              <w:tabs>
                <w:tab w:val="left" w:pos="360"/>
                <w:tab w:val="left" w:pos="540"/>
                <w:tab w:val="left" w:pos="630"/>
                <w:tab w:val="left" w:pos="1080"/>
              </w:tabs>
              <w:ind w:left="-108" w:right="-108"/>
              <w:jc w:val="left"/>
              <w:rPr>
                <w:sz w:val="20"/>
              </w:rPr>
            </w:pPr>
            <w:r>
              <w:rPr>
                <w:sz w:val="20"/>
              </w:rPr>
              <w:t>Total G</w:t>
            </w:r>
            <w:r w:rsidR="005B47E3">
              <w:rPr>
                <w:sz w:val="20"/>
              </w:rPr>
              <w:t>roup retained profits</w:t>
            </w:r>
          </w:p>
        </w:tc>
        <w:tc>
          <w:tcPr>
            <w:tcW w:w="1530" w:type="dxa"/>
            <w:tcBorders>
              <w:top w:val="single" w:sz="4" w:space="0" w:color="auto"/>
              <w:left w:val="single" w:sz="4" w:space="0" w:color="auto"/>
              <w:bottom w:val="single" w:sz="12" w:space="0" w:color="auto"/>
              <w:right w:val="single" w:sz="4" w:space="0" w:color="auto"/>
            </w:tcBorders>
            <w:shd w:val="clear" w:color="auto" w:fill="auto"/>
          </w:tcPr>
          <w:p w:rsidR="00925D7B" w:rsidRPr="001C3AE6" w:rsidRDefault="001C3AE6" w:rsidP="007E1095">
            <w:pPr>
              <w:pStyle w:val="BodyText"/>
              <w:tabs>
                <w:tab w:val="left" w:pos="360"/>
                <w:tab w:val="left" w:pos="540"/>
                <w:tab w:val="left" w:pos="630"/>
                <w:tab w:val="left" w:pos="1062"/>
              </w:tabs>
              <w:ind w:left="-108" w:right="-108"/>
              <w:jc w:val="center"/>
              <w:rPr>
                <w:sz w:val="20"/>
              </w:rPr>
            </w:pPr>
            <w:r w:rsidRPr="001C3AE6">
              <w:rPr>
                <w:sz w:val="20"/>
              </w:rPr>
              <w:t>22,462</w:t>
            </w:r>
          </w:p>
        </w:tc>
        <w:tc>
          <w:tcPr>
            <w:tcW w:w="1440" w:type="dxa"/>
            <w:tcBorders>
              <w:top w:val="single" w:sz="4" w:space="0" w:color="auto"/>
              <w:left w:val="single" w:sz="4" w:space="0" w:color="auto"/>
              <w:bottom w:val="single" w:sz="12" w:space="0" w:color="auto"/>
              <w:right w:val="single" w:sz="4" w:space="0" w:color="auto"/>
            </w:tcBorders>
          </w:tcPr>
          <w:p w:rsidR="00925D7B" w:rsidRPr="001C3AE6" w:rsidRDefault="001C3AE6" w:rsidP="001C3AE6">
            <w:pPr>
              <w:pStyle w:val="BodyText"/>
              <w:tabs>
                <w:tab w:val="left" w:pos="360"/>
                <w:tab w:val="left" w:pos="540"/>
                <w:tab w:val="left" w:pos="630"/>
                <w:tab w:val="left" w:pos="1062"/>
              </w:tabs>
              <w:ind w:left="-108" w:right="-108"/>
              <w:rPr>
                <w:sz w:val="20"/>
              </w:rPr>
            </w:pPr>
            <w:r w:rsidRPr="001C3AE6">
              <w:rPr>
                <w:sz w:val="20"/>
              </w:rPr>
              <w:t xml:space="preserve">        15,381</w:t>
            </w:r>
          </w:p>
        </w:tc>
      </w:tr>
    </w:tbl>
    <w:p w:rsidR="0059386B" w:rsidRDefault="0059386B" w:rsidP="00491580">
      <w:pPr>
        <w:pStyle w:val="BodyText"/>
        <w:tabs>
          <w:tab w:val="left" w:pos="540"/>
          <w:tab w:val="left" w:pos="630"/>
          <w:tab w:val="left" w:pos="990"/>
        </w:tabs>
        <w:ind w:left="1080" w:right="-450" w:hanging="1800"/>
        <w:rPr>
          <w:sz w:val="20"/>
        </w:rPr>
      </w:pPr>
    </w:p>
    <w:p w:rsidR="007E1095" w:rsidRDefault="005B47E3" w:rsidP="005B47E3">
      <w:pPr>
        <w:pStyle w:val="BodyText"/>
        <w:tabs>
          <w:tab w:val="left" w:pos="540"/>
          <w:tab w:val="left" w:pos="630"/>
          <w:tab w:val="left" w:pos="990"/>
        </w:tabs>
        <w:ind w:left="630"/>
        <w:rPr>
          <w:sz w:val="20"/>
        </w:rPr>
      </w:pPr>
      <w:r>
        <w:rPr>
          <w:sz w:val="20"/>
        </w:rPr>
        <w:t xml:space="preserve">The determination of </w:t>
      </w:r>
      <w:proofErr w:type="spellStart"/>
      <w:r>
        <w:rPr>
          <w:sz w:val="20"/>
        </w:rPr>
        <w:t>realised</w:t>
      </w:r>
      <w:proofErr w:type="spellEnd"/>
      <w:r>
        <w:rPr>
          <w:sz w:val="20"/>
        </w:rPr>
        <w:t xml:space="preserve"> and </w:t>
      </w:r>
      <w:proofErr w:type="spellStart"/>
      <w:r>
        <w:rPr>
          <w:sz w:val="20"/>
        </w:rPr>
        <w:t>unrealised</w:t>
      </w:r>
      <w:proofErr w:type="spellEnd"/>
      <w:r>
        <w:rPr>
          <w:sz w:val="20"/>
        </w:rPr>
        <w:t xml:space="preserve"> profits is compiled based on Guidance of Special Matter No.1 </w:t>
      </w:r>
      <w:r>
        <w:rPr>
          <w:i/>
          <w:sz w:val="20"/>
        </w:rPr>
        <w:t xml:space="preserve">Determination of </w:t>
      </w:r>
      <w:proofErr w:type="spellStart"/>
      <w:r>
        <w:rPr>
          <w:i/>
          <w:sz w:val="20"/>
        </w:rPr>
        <w:t>Realised</w:t>
      </w:r>
      <w:proofErr w:type="spellEnd"/>
      <w:r>
        <w:rPr>
          <w:i/>
          <w:sz w:val="20"/>
        </w:rPr>
        <w:t xml:space="preserve"> and </w:t>
      </w:r>
      <w:proofErr w:type="spellStart"/>
      <w:r>
        <w:rPr>
          <w:i/>
          <w:sz w:val="20"/>
        </w:rPr>
        <w:t>Unrealised</w:t>
      </w:r>
      <w:proofErr w:type="spellEnd"/>
      <w:r>
        <w:rPr>
          <w:i/>
          <w:sz w:val="20"/>
        </w:rPr>
        <w:t xml:space="preserve"> Profits or Losses in the Context of Disclosure Pursuant to Bursa Securities Listing Requirements</w:t>
      </w:r>
      <w:r>
        <w:rPr>
          <w:sz w:val="20"/>
        </w:rPr>
        <w:t>, issued by the Malaysian Institute of Accountants on 20 December 2010.</w:t>
      </w:r>
    </w:p>
    <w:p w:rsidR="005B47E3" w:rsidRDefault="005B47E3" w:rsidP="005B47E3">
      <w:pPr>
        <w:pStyle w:val="BodyText"/>
        <w:tabs>
          <w:tab w:val="left" w:pos="540"/>
          <w:tab w:val="left" w:pos="630"/>
          <w:tab w:val="left" w:pos="990"/>
        </w:tabs>
        <w:ind w:left="630"/>
        <w:rPr>
          <w:sz w:val="20"/>
        </w:rPr>
      </w:pPr>
    </w:p>
    <w:p w:rsidR="005B47E3" w:rsidRPr="005B47E3" w:rsidRDefault="005B47E3" w:rsidP="005B47E3">
      <w:pPr>
        <w:pStyle w:val="BodyText"/>
        <w:tabs>
          <w:tab w:val="left" w:pos="540"/>
          <w:tab w:val="left" w:pos="630"/>
          <w:tab w:val="left" w:pos="990"/>
        </w:tabs>
        <w:ind w:left="630"/>
        <w:rPr>
          <w:sz w:val="20"/>
        </w:rPr>
      </w:pPr>
      <w:r>
        <w:rPr>
          <w:sz w:val="20"/>
        </w:rPr>
        <w:t xml:space="preserve">The disclosure of </w:t>
      </w:r>
      <w:proofErr w:type="spellStart"/>
      <w:r>
        <w:rPr>
          <w:sz w:val="20"/>
        </w:rPr>
        <w:t>realised</w:t>
      </w:r>
      <w:proofErr w:type="spellEnd"/>
      <w:r>
        <w:rPr>
          <w:sz w:val="20"/>
        </w:rPr>
        <w:t xml:space="preserve"> and </w:t>
      </w:r>
      <w:proofErr w:type="spellStart"/>
      <w:r>
        <w:rPr>
          <w:sz w:val="20"/>
        </w:rPr>
        <w:t>unrealised</w:t>
      </w:r>
      <w:proofErr w:type="spellEnd"/>
      <w:r>
        <w:rPr>
          <w:sz w:val="20"/>
        </w:rPr>
        <w:t xml:space="preserve"> profits above is solely for the purposes of complying with the disclosure requirements stipulated in the directive of Bursa Securities and should not be applied for any other purposes.</w:t>
      </w:r>
    </w:p>
    <w:p w:rsidR="007E1095" w:rsidRDefault="007E1095" w:rsidP="00491580">
      <w:pPr>
        <w:pStyle w:val="BodyText"/>
        <w:tabs>
          <w:tab w:val="left" w:pos="540"/>
          <w:tab w:val="left" w:pos="630"/>
          <w:tab w:val="left" w:pos="990"/>
        </w:tabs>
        <w:ind w:left="1080" w:right="-450" w:hanging="1800"/>
        <w:rPr>
          <w:sz w:val="20"/>
        </w:rPr>
      </w:pPr>
    </w:p>
    <w:p w:rsidR="007E1095" w:rsidRDefault="007E1095" w:rsidP="00491580">
      <w:pPr>
        <w:pStyle w:val="BodyText"/>
        <w:tabs>
          <w:tab w:val="left" w:pos="540"/>
          <w:tab w:val="left" w:pos="630"/>
          <w:tab w:val="left" w:pos="990"/>
        </w:tabs>
        <w:ind w:left="1080" w:right="-450" w:hanging="1800"/>
        <w:rPr>
          <w:sz w:val="20"/>
        </w:rPr>
      </w:pPr>
    </w:p>
    <w:p w:rsidR="007E1095" w:rsidRDefault="007E1095" w:rsidP="00491580">
      <w:pPr>
        <w:pStyle w:val="BodyText"/>
        <w:tabs>
          <w:tab w:val="left" w:pos="540"/>
          <w:tab w:val="left" w:pos="630"/>
          <w:tab w:val="left" w:pos="990"/>
        </w:tabs>
        <w:ind w:left="1080" w:right="-450" w:hanging="1800"/>
        <w:rPr>
          <w:sz w:val="20"/>
        </w:rPr>
      </w:pPr>
    </w:p>
    <w:p w:rsidR="007E1095" w:rsidRPr="001B7B87" w:rsidRDefault="007E1095" w:rsidP="00491580">
      <w:pPr>
        <w:pStyle w:val="BodyText"/>
        <w:tabs>
          <w:tab w:val="left" w:pos="540"/>
          <w:tab w:val="left" w:pos="630"/>
          <w:tab w:val="left" w:pos="990"/>
        </w:tabs>
        <w:ind w:left="1080" w:right="-450" w:hanging="1800"/>
        <w:rPr>
          <w:sz w:val="20"/>
        </w:rPr>
      </w:pPr>
    </w:p>
    <w:p w:rsidR="008D03F7" w:rsidRPr="001B7B87" w:rsidRDefault="008D03F7" w:rsidP="00491580">
      <w:pPr>
        <w:pStyle w:val="BodyText"/>
        <w:tabs>
          <w:tab w:val="left" w:pos="540"/>
          <w:tab w:val="left" w:pos="630"/>
          <w:tab w:val="left" w:pos="990"/>
        </w:tabs>
        <w:ind w:left="1080" w:right="-450" w:hanging="1800"/>
        <w:rPr>
          <w:sz w:val="20"/>
        </w:rPr>
      </w:pPr>
    </w:p>
    <w:p w:rsidR="0059386B" w:rsidRPr="001B7B87" w:rsidRDefault="0059386B" w:rsidP="00491580">
      <w:pPr>
        <w:pStyle w:val="BodyText"/>
        <w:tabs>
          <w:tab w:val="left" w:pos="540"/>
          <w:tab w:val="left" w:pos="630"/>
          <w:tab w:val="left" w:pos="990"/>
        </w:tabs>
        <w:ind w:right="-450" w:hanging="1800"/>
        <w:rPr>
          <w:sz w:val="20"/>
        </w:rPr>
      </w:pPr>
      <w:r w:rsidRPr="001B7B87">
        <w:rPr>
          <w:sz w:val="20"/>
        </w:rPr>
        <w:tab/>
      </w:r>
      <w:r w:rsidRPr="001B7B87">
        <w:rPr>
          <w:sz w:val="20"/>
        </w:rPr>
        <w:tab/>
      </w:r>
      <w:r w:rsidRPr="001B7B87">
        <w:rPr>
          <w:sz w:val="20"/>
        </w:rPr>
        <w:tab/>
        <w:t xml:space="preserve">By Order Of </w:t>
      </w:r>
      <w:proofErr w:type="gramStart"/>
      <w:r w:rsidRPr="001B7B87">
        <w:rPr>
          <w:sz w:val="20"/>
        </w:rPr>
        <w:t>The</w:t>
      </w:r>
      <w:proofErr w:type="gramEnd"/>
      <w:r w:rsidRPr="001B7B87">
        <w:rPr>
          <w:sz w:val="20"/>
        </w:rPr>
        <w:t xml:space="preserve"> Board</w:t>
      </w:r>
    </w:p>
    <w:p w:rsidR="0059386B" w:rsidRDefault="0059386B" w:rsidP="00491580">
      <w:pPr>
        <w:pStyle w:val="BodyText"/>
        <w:tabs>
          <w:tab w:val="left" w:pos="540"/>
          <w:tab w:val="left" w:pos="630"/>
          <w:tab w:val="left" w:pos="990"/>
        </w:tabs>
        <w:ind w:right="-450" w:hanging="1800"/>
        <w:rPr>
          <w:b/>
          <w:sz w:val="20"/>
        </w:rPr>
      </w:pPr>
      <w:r w:rsidRPr="001B7B87">
        <w:rPr>
          <w:sz w:val="20"/>
        </w:rPr>
        <w:tab/>
      </w:r>
      <w:r w:rsidRPr="001B7B87">
        <w:rPr>
          <w:sz w:val="20"/>
        </w:rPr>
        <w:tab/>
      </w:r>
      <w:r w:rsidRPr="001B7B87">
        <w:rPr>
          <w:sz w:val="20"/>
        </w:rPr>
        <w:tab/>
      </w:r>
      <w:r w:rsidRPr="001B7B87">
        <w:rPr>
          <w:b/>
          <w:sz w:val="20"/>
        </w:rPr>
        <w:t>MBf HOLDINGS BERHAD</w:t>
      </w: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b/>
          <w:sz w:val="20"/>
        </w:rPr>
      </w:pPr>
    </w:p>
    <w:p w:rsidR="004C28D6" w:rsidRDefault="004C28D6" w:rsidP="00491580">
      <w:pPr>
        <w:pStyle w:val="BodyText"/>
        <w:tabs>
          <w:tab w:val="left" w:pos="540"/>
          <w:tab w:val="left" w:pos="630"/>
          <w:tab w:val="left" w:pos="990"/>
        </w:tabs>
        <w:ind w:right="-450" w:hanging="1800"/>
        <w:rPr>
          <w:b/>
          <w:sz w:val="20"/>
        </w:rPr>
      </w:pPr>
    </w:p>
    <w:p w:rsidR="00341A0B" w:rsidRDefault="0059386B" w:rsidP="00491580">
      <w:pPr>
        <w:pStyle w:val="BodyText"/>
        <w:tabs>
          <w:tab w:val="left" w:pos="540"/>
          <w:tab w:val="left" w:pos="630"/>
          <w:tab w:val="left" w:pos="990"/>
        </w:tabs>
        <w:ind w:right="-450" w:hanging="1800"/>
        <w:rPr>
          <w:b/>
          <w:sz w:val="20"/>
        </w:rPr>
      </w:pPr>
      <w:r>
        <w:rPr>
          <w:b/>
          <w:sz w:val="20"/>
        </w:rPr>
        <w:tab/>
      </w:r>
      <w:r>
        <w:rPr>
          <w:b/>
          <w:sz w:val="20"/>
        </w:rPr>
        <w:tab/>
      </w:r>
      <w:r>
        <w:rPr>
          <w:b/>
          <w:sz w:val="20"/>
        </w:rPr>
        <w:tab/>
      </w:r>
      <w:smartTag w:uri="urn:schemas-microsoft-com:office:smarttags" w:element="PersonName">
        <w:r>
          <w:rPr>
            <w:b/>
            <w:sz w:val="20"/>
          </w:rPr>
          <w:t>Chong Siew Hoong</w:t>
        </w:r>
      </w:smartTag>
      <w:r w:rsidR="00221E21">
        <w:rPr>
          <w:b/>
          <w:sz w:val="20"/>
        </w:rPr>
        <w:t xml:space="preserve"> (MIA 5062)</w:t>
      </w:r>
    </w:p>
    <w:p w:rsidR="0059386B" w:rsidRDefault="008474D9" w:rsidP="00491580">
      <w:pPr>
        <w:pStyle w:val="BodyText"/>
        <w:tabs>
          <w:tab w:val="left" w:pos="540"/>
          <w:tab w:val="left" w:pos="630"/>
          <w:tab w:val="left" w:pos="990"/>
        </w:tabs>
        <w:ind w:right="-450" w:hanging="1800"/>
        <w:rPr>
          <w:b/>
          <w:sz w:val="20"/>
        </w:rPr>
      </w:pPr>
      <w:r>
        <w:rPr>
          <w:b/>
          <w:sz w:val="20"/>
        </w:rPr>
        <w:t xml:space="preserve">                   </w:t>
      </w:r>
      <w:r w:rsidR="006B5E5F">
        <w:rPr>
          <w:b/>
          <w:sz w:val="20"/>
        </w:rPr>
        <w:tab/>
      </w:r>
      <w:r w:rsidR="006B5E5F">
        <w:rPr>
          <w:b/>
          <w:sz w:val="20"/>
        </w:rPr>
        <w:tab/>
      </w:r>
      <w:r w:rsidR="006B5E5F">
        <w:rPr>
          <w:b/>
          <w:sz w:val="20"/>
        </w:rPr>
        <w:tab/>
      </w:r>
      <w:smartTag w:uri="urn:schemas-microsoft-com:office:smarttags" w:element="PersonName">
        <w:r w:rsidR="00341A0B">
          <w:rPr>
            <w:b/>
            <w:sz w:val="20"/>
          </w:rPr>
          <w:t>Ong Hua Meng</w:t>
        </w:r>
      </w:smartTag>
      <w:r w:rsidR="0059386B">
        <w:rPr>
          <w:b/>
          <w:sz w:val="20"/>
        </w:rPr>
        <w:t xml:space="preserve"> </w:t>
      </w:r>
      <w:r w:rsidR="00221E21">
        <w:rPr>
          <w:b/>
          <w:sz w:val="20"/>
        </w:rPr>
        <w:t>(</w:t>
      </w:r>
      <w:r w:rsidR="00EB4E91">
        <w:rPr>
          <w:b/>
          <w:sz w:val="20"/>
        </w:rPr>
        <w:t>MIA 6346)</w:t>
      </w:r>
    </w:p>
    <w:p w:rsidR="0059386B" w:rsidRDefault="00341A0B" w:rsidP="00491580">
      <w:pPr>
        <w:pStyle w:val="BodyText"/>
        <w:tabs>
          <w:tab w:val="left" w:pos="540"/>
          <w:tab w:val="left" w:pos="630"/>
          <w:tab w:val="left" w:pos="990"/>
        </w:tabs>
        <w:ind w:right="-450" w:hanging="1800"/>
        <w:rPr>
          <w:b/>
          <w:sz w:val="20"/>
        </w:rPr>
      </w:pPr>
      <w:r>
        <w:rPr>
          <w:b/>
          <w:sz w:val="20"/>
        </w:rPr>
        <w:tab/>
      </w:r>
      <w:r>
        <w:rPr>
          <w:b/>
          <w:sz w:val="20"/>
        </w:rPr>
        <w:tab/>
      </w:r>
      <w:r>
        <w:rPr>
          <w:b/>
          <w:sz w:val="20"/>
        </w:rPr>
        <w:tab/>
        <w:t>Company Secretaries</w:t>
      </w: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sz w:val="20"/>
        </w:rPr>
      </w:pPr>
      <w:r>
        <w:rPr>
          <w:b/>
          <w:sz w:val="20"/>
        </w:rPr>
        <w:tab/>
      </w:r>
      <w:r>
        <w:rPr>
          <w:b/>
          <w:sz w:val="20"/>
        </w:rPr>
        <w:tab/>
      </w:r>
      <w:r>
        <w:rPr>
          <w:b/>
          <w:sz w:val="20"/>
        </w:rPr>
        <w:tab/>
      </w:r>
      <w:proofErr w:type="gramStart"/>
      <w:r>
        <w:rPr>
          <w:b/>
          <w:sz w:val="20"/>
        </w:rPr>
        <w:t>Date :</w:t>
      </w:r>
      <w:proofErr w:type="gramEnd"/>
      <w:r>
        <w:rPr>
          <w:b/>
          <w:sz w:val="20"/>
        </w:rPr>
        <w:t xml:space="preserve"> </w:t>
      </w:r>
      <w:r w:rsidR="005B2A81">
        <w:rPr>
          <w:b/>
          <w:sz w:val="20"/>
        </w:rPr>
        <w:t>27 May 2011</w:t>
      </w:r>
    </w:p>
    <w:sectPr w:rsidR="0059386B" w:rsidSect="00A15F4C">
      <w:headerReference w:type="default" r:id="rId8"/>
      <w:footerReference w:type="even" r:id="rId9"/>
      <w:footerReference w:type="default" r:id="rId10"/>
      <w:pgSz w:w="12240" w:h="15840" w:code="1"/>
      <w:pgMar w:top="1440" w:right="1440" w:bottom="1354" w:left="1440" w:header="720" w:footer="720"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D7A" w:rsidRDefault="00010D7A">
      <w:r>
        <w:separator/>
      </w:r>
    </w:p>
  </w:endnote>
  <w:endnote w:type="continuationSeparator" w:id="0">
    <w:p w:rsidR="00010D7A" w:rsidRDefault="00010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D7A" w:rsidRDefault="00243312">
    <w:pPr>
      <w:pStyle w:val="Footer"/>
      <w:framePr w:wrap="around" w:vAnchor="text" w:hAnchor="margin" w:xAlign="center" w:y="1"/>
      <w:rPr>
        <w:rStyle w:val="PageNumber"/>
      </w:rPr>
    </w:pPr>
    <w:r>
      <w:rPr>
        <w:rStyle w:val="PageNumber"/>
      </w:rPr>
      <w:fldChar w:fldCharType="begin"/>
    </w:r>
    <w:r w:rsidR="00010D7A">
      <w:rPr>
        <w:rStyle w:val="PageNumber"/>
      </w:rPr>
      <w:instrText xml:space="preserve">PAGE  </w:instrText>
    </w:r>
    <w:r>
      <w:rPr>
        <w:rStyle w:val="PageNumber"/>
      </w:rPr>
      <w:fldChar w:fldCharType="end"/>
    </w:r>
  </w:p>
  <w:p w:rsidR="00010D7A" w:rsidRDefault="00010D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D7A" w:rsidRDefault="00010D7A">
    <w:pPr>
      <w:pStyle w:val="Footer"/>
    </w:pPr>
    <w:r>
      <w:rPr>
        <w:rStyle w:val="PageNumber"/>
      </w:rPr>
      <w:tab/>
      <w:t xml:space="preserve">Page </w:t>
    </w:r>
    <w:r w:rsidR="00243312">
      <w:rPr>
        <w:rStyle w:val="PageNumber"/>
      </w:rPr>
      <w:fldChar w:fldCharType="begin"/>
    </w:r>
    <w:r>
      <w:rPr>
        <w:rStyle w:val="PageNumber"/>
      </w:rPr>
      <w:instrText xml:space="preserve"> PAGE </w:instrText>
    </w:r>
    <w:r w:rsidR="00243312">
      <w:rPr>
        <w:rStyle w:val="PageNumber"/>
      </w:rPr>
      <w:fldChar w:fldCharType="separate"/>
    </w:r>
    <w:r w:rsidR="00A04F2D">
      <w:rPr>
        <w:rStyle w:val="PageNumber"/>
        <w:noProof/>
      </w:rPr>
      <w:t>10</w:t>
    </w:r>
    <w:r w:rsidR="00243312">
      <w:rPr>
        <w:rStyle w:val="PageNumber"/>
      </w:rPr>
      <w:fldChar w:fldCharType="end"/>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D7A" w:rsidRDefault="00010D7A">
      <w:r>
        <w:separator/>
      </w:r>
    </w:p>
  </w:footnote>
  <w:footnote w:type="continuationSeparator" w:id="0">
    <w:p w:rsidR="00010D7A" w:rsidRDefault="00010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D7A" w:rsidRDefault="00010D7A">
    <w:pPr>
      <w:pStyle w:val="Header"/>
      <w:jc w:val="both"/>
      <w:rPr>
        <w:b/>
      </w:rPr>
    </w:pPr>
    <w:r>
      <w:rPr>
        <w:b/>
      </w:rPr>
      <w:t>MBf HOLDINGS BERHAD   (5223-K)</w:t>
    </w:r>
    <w:r>
      <w:rPr>
        <w:b/>
      </w:rPr>
      <w:tab/>
    </w:r>
    <w:r>
      <w:rPr>
        <w:b/>
      </w:rPr>
      <w:tab/>
    </w:r>
  </w:p>
  <w:p w:rsidR="00010D7A" w:rsidRDefault="00010D7A">
    <w:pPr>
      <w:pStyle w:val="Header"/>
      <w:pBdr>
        <w:bottom w:val="single" w:sz="12" w:space="1" w:color="auto"/>
      </w:pBdr>
      <w:jc w:val="both"/>
      <w:rPr>
        <w:b/>
      </w:rPr>
    </w:pPr>
    <w:r>
      <w:rPr>
        <w:b/>
      </w:rPr>
      <w:t>UNAUDITED QUARTERLY REPORT FOR THE FIRST QUARTER ENDED 31 MARCH 2011</w:t>
    </w:r>
  </w:p>
  <w:p w:rsidR="00010D7A" w:rsidRDefault="00010D7A">
    <w:pPr>
      <w:pStyle w:val="Header"/>
      <w:pBdr>
        <w:bottom w:val="single" w:sz="12" w:space="1" w:color="auto"/>
      </w:pBdr>
      <w:rPr>
        <w:b/>
      </w:rPr>
    </w:pPr>
  </w:p>
  <w:p w:rsidR="00010D7A" w:rsidRDefault="00010D7A">
    <w:pPr>
      <w:pStyle w:val="Header"/>
      <w:rPr>
        <w:emboss/>
        <w:color w:val="FFFFFF"/>
        <w:sz w:val="22"/>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B3C"/>
    <w:multiLevelType w:val="hybridMultilevel"/>
    <w:tmpl w:val="5CF0FE5A"/>
    <w:lvl w:ilvl="0" w:tplc="60CC11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2609A9"/>
    <w:multiLevelType w:val="singleLevel"/>
    <w:tmpl w:val="85D82BB8"/>
    <w:lvl w:ilvl="0">
      <w:start w:val="1"/>
      <w:numFmt w:val="lowerLetter"/>
      <w:lvlText w:val="(%1)"/>
      <w:lvlJc w:val="left"/>
      <w:pPr>
        <w:tabs>
          <w:tab w:val="num" w:pos="360"/>
        </w:tabs>
        <w:ind w:left="360" w:hanging="360"/>
      </w:pPr>
      <w:rPr>
        <w:b/>
        <w:i w:val="0"/>
      </w:rPr>
    </w:lvl>
  </w:abstractNum>
  <w:abstractNum w:abstractNumId="2">
    <w:nsid w:val="14152A50"/>
    <w:multiLevelType w:val="hybridMultilevel"/>
    <w:tmpl w:val="85B02AF0"/>
    <w:lvl w:ilvl="0" w:tplc="3CF4B1C6">
      <w:start w:val="1"/>
      <w:numFmt w:val="low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
    <w:nsid w:val="1AB67663"/>
    <w:multiLevelType w:val="hybridMultilevel"/>
    <w:tmpl w:val="F7FC028E"/>
    <w:lvl w:ilvl="0" w:tplc="D5F82E26">
      <w:start w:val="1"/>
      <w:numFmt w:val="decimal"/>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A3694F"/>
    <w:multiLevelType w:val="hybridMultilevel"/>
    <w:tmpl w:val="2FA2D09A"/>
    <w:lvl w:ilvl="0" w:tplc="810293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FD6CEA"/>
    <w:multiLevelType w:val="multilevel"/>
    <w:tmpl w:val="D4345E0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4806BCD"/>
    <w:multiLevelType w:val="hybridMultilevel"/>
    <w:tmpl w:val="FBDE18DE"/>
    <w:lvl w:ilvl="0" w:tplc="85D82BB8">
      <w:start w:val="1"/>
      <w:numFmt w:val="lowerLetter"/>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AD74F1"/>
    <w:multiLevelType w:val="hybridMultilevel"/>
    <w:tmpl w:val="DA1C121A"/>
    <w:lvl w:ilvl="0" w:tplc="3704F118">
      <w:start w:val="1"/>
      <w:numFmt w:val="low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0E564B"/>
    <w:multiLevelType w:val="hybridMultilevel"/>
    <w:tmpl w:val="4C9EB478"/>
    <w:lvl w:ilvl="0" w:tplc="3654B8D4">
      <w:start w:val="1"/>
      <w:numFmt w:val="none"/>
      <w:lvlText w:val="b)"/>
      <w:lvlJc w:val="left"/>
      <w:pPr>
        <w:tabs>
          <w:tab w:val="num" w:pos="1080"/>
        </w:tabs>
        <w:ind w:left="1080" w:hanging="360"/>
      </w:pPr>
      <w:rPr>
        <w:rFonts w:hint="default"/>
        <w:effect w:val="none"/>
      </w:rPr>
    </w:lvl>
    <w:lvl w:ilvl="1" w:tplc="7B108724">
      <w:start w:val="1"/>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9932833"/>
    <w:multiLevelType w:val="hybridMultilevel"/>
    <w:tmpl w:val="1BE8D7DC"/>
    <w:lvl w:ilvl="0" w:tplc="7C0AEA04">
      <w:start w:val="1"/>
      <w:numFmt w:val="bullet"/>
      <w:lvlText w:val=""/>
      <w:lvlJc w:val="left"/>
      <w:pPr>
        <w:tabs>
          <w:tab w:val="num" w:pos="1350"/>
        </w:tabs>
        <w:ind w:left="1350" w:hanging="360"/>
      </w:pPr>
      <w:rPr>
        <w:rFonts w:ascii="Symbol" w:hAnsi="Symbol" w:hint="default"/>
        <w:sz w:val="24"/>
        <w:szCs w:val="24"/>
      </w:rPr>
    </w:lvl>
    <w:lvl w:ilvl="1" w:tplc="0409000F">
      <w:start w:val="1"/>
      <w:numFmt w:val="decimal"/>
      <w:lvlText w:val="%2."/>
      <w:lvlJc w:val="left"/>
      <w:pPr>
        <w:tabs>
          <w:tab w:val="num" w:pos="2127"/>
        </w:tabs>
        <w:ind w:left="2127" w:hanging="360"/>
      </w:pPr>
      <w:rPr>
        <w:rFonts w:hint="default"/>
        <w:sz w:val="24"/>
        <w:szCs w:val="24"/>
      </w:rPr>
    </w:lvl>
    <w:lvl w:ilvl="2" w:tplc="04090005" w:tentative="1">
      <w:start w:val="1"/>
      <w:numFmt w:val="bullet"/>
      <w:lvlText w:val=""/>
      <w:lvlJc w:val="left"/>
      <w:pPr>
        <w:tabs>
          <w:tab w:val="num" w:pos="2847"/>
        </w:tabs>
        <w:ind w:left="2847" w:hanging="360"/>
      </w:pPr>
      <w:rPr>
        <w:rFonts w:ascii="Wingdings" w:hAnsi="Wingdings" w:hint="default"/>
      </w:rPr>
    </w:lvl>
    <w:lvl w:ilvl="3" w:tplc="04090001" w:tentative="1">
      <w:start w:val="1"/>
      <w:numFmt w:val="bullet"/>
      <w:lvlText w:val=""/>
      <w:lvlJc w:val="left"/>
      <w:pPr>
        <w:tabs>
          <w:tab w:val="num" w:pos="3567"/>
        </w:tabs>
        <w:ind w:left="3567" w:hanging="360"/>
      </w:pPr>
      <w:rPr>
        <w:rFonts w:ascii="Symbol" w:hAnsi="Symbol" w:hint="default"/>
      </w:rPr>
    </w:lvl>
    <w:lvl w:ilvl="4" w:tplc="04090003" w:tentative="1">
      <w:start w:val="1"/>
      <w:numFmt w:val="bullet"/>
      <w:lvlText w:val="o"/>
      <w:lvlJc w:val="left"/>
      <w:pPr>
        <w:tabs>
          <w:tab w:val="num" w:pos="4287"/>
        </w:tabs>
        <w:ind w:left="4287" w:hanging="360"/>
      </w:pPr>
      <w:rPr>
        <w:rFonts w:ascii="Courier New" w:hAnsi="Courier New" w:cs="Courier New" w:hint="default"/>
      </w:rPr>
    </w:lvl>
    <w:lvl w:ilvl="5" w:tplc="04090005" w:tentative="1">
      <w:start w:val="1"/>
      <w:numFmt w:val="bullet"/>
      <w:lvlText w:val=""/>
      <w:lvlJc w:val="left"/>
      <w:pPr>
        <w:tabs>
          <w:tab w:val="num" w:pos="5007"/>
        </w:tabs>
        <w:ind w:left="5007" w:hanging="360"/>
      </w:pPr>
      <w:rPr>
        <w:rFonts w:ascii="Wingdings" w:hAnsi="Wingdings" w:hint="default"/>
      </w:rPr>
    </w:lvl>
    <w:lvl w:ilvl="6" w:tplc="04090001" w:tentative="1">
      <w:start w:val="1"/>
      <w:numFmt w:val="bullet"/>
      <w:lvlText w:val=""/>
      <w:lvlJc w:val="left"/>
      <w:pPr>
        <w:tabs>
          <w:tab w:val="num" w:pos="5727"/>
        </w:tabs>
        <w:ind w:left="5727" w:hanging="360"/>
      </w:pPr>
      <w:rPr>
        <w:rFonts w:ascii="Symbol" w:hAnsi="Symbol" w:hint="default"/>
      </w:rPr>
    </w:lvl>
    <w:lvl w:ilvl="7" w:tplc="04090003" w:tentative="1">
      <w:start w:val="1"/>
      <w:numFmt w:val="bullet"/>
      <w:lvlText w:val="o"/>
      <w:lvlJc w:val="left"/>
      <w:pPr>
        <w:tabs>
          <w:tab w:val="num" w:pos="6447"/>
        </w:tabs>
        <w:ind w:left="6447" w:hanging="360"/>
      </w:pPr>
      <w:rPr>
        <w:rFonts w:ascii="Courier New" w:hAnsi="Courier New" w:cs="Courier New" w:hint="default"/>
      </w:rPr>
    </w:lvl>
    <w:lvl w:ilvl="8" w:tplc="04090005" w:tentative="1">
      <w:start w:val="1"/>
      <w:numFmt w:val="bullet"/>
      <w:lvlText w:val=""/>
      <w:lvlJc w:val="left"/>
      <w:pPr>
        <w:tabs>
          <w:tab w:val="num" w:pos="7167"/>
        </w:tabs>
        <w:ind w:left="7167" w:hanging="360"/>
      </w:pPr>
      <w:rPr>
        <w:rFonts w:ascii="Wingdings" w:hAnsi="Wingdings" w:hint="default"/>
      </w:rPr>
    </w:lvl>
  </w:abstractNum>
  <w:abstractNum w:abstractNumId="10">
    <w:nsid w:val="3CA006FB"/>
    <w:multiLevelType w:val="hybridMultilevel"/>
    <w:tmpl w:val="EABCD2D2"/>
    <w:lvl w:ilvl="0" w:tplc="7C0AEA04">
      <w:start w:val="1"/>
      <w:numFmt w:val="bullet"/>
      <w:lvlText w:val=""/>
      <w:lvlJc w:val="left"/>
      <w:pPr>
        <w:tabs>
          <w:tab w:val="num" w:pos="-417"/>
        </w:tabs>
        <w:ind w:left="-417" w:hanging="360"/>
      </w:pPr>
      <w:rPr>
        <w:rFonts w:ascii="Symbol" w:hAnsi="Symbol" w:hint="default"/>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3DE70D7F"/>
    <w:multiLevelType w:val="hybridMultilevel"/>
    <w:tmpl w:val="758AA878"/>
    <w:lvl w:ilvl="0" w:tplc="42E6D00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3D15DDA"/>
    <w:multiLevelType w:val="singleLevel"/>
    <w:tmpl w:val="8910BEB2"/>
    <w:lvl w:ilvl="0">
      <w:start w:val="1"/>
      <w:numFmt w:val="lowerLetter"/>
      <w:lvlText w:val="(%1)"/>
      <w:lvlJc w:val="left"/>
      <w:pPr>
        <w:tabs>
          <w:tab w:val="num" w:pos="1080"/>
        </w:tabs>
        <w:ind w:left="1080" w:hanging="360"/>
      </w:pPr>
      <w:rPr>
        <w:rFonts w:hint="default"/>
      </w:rPr>
    </w:lvl>
  </w:abstractNum>
  <w:abstractNum w:abstractNumId="13">
    <w:nsid w:val="49E0693A"/>
    <w:multiLevelType w:val="hybridMultilevel"/>
    <w:tmpl w:val="A164089A"/>
    <w:lvl w:ilvl="0" w:tplc="1294352E">
      <w:start w:val="3"/>
      <w:numFmt w:val="bullet"/>
      <w:lvlText w:val="-"/>
      <w:lvlJc w:val="left"/>
      <w:pPr>
        <w:tabs>
          <w:tab w:val="num" w:pos="342"/>
        </w:tabs>
        <w:ind w:left="342" w:hanging="360"/>
      </w:pPr>
      <w:rPr>
        <w:rFonts w:ascii="Times New Roman" w:eastAsia="Times New Roman" w:hAnsi="Times New Roman" w:cs="Times New Roman" w:hint="default"/>
      </w:rPr>
    </w:lvl>
    <w:lvl w:ilvl="1" w:tplc="04090003" w:tentative="1">
      <w:start w:val="1"/>
      <w:numFmt w:val="bullet"/>
      <w:lvlText w:val="o"/>
      <w:lvlJc w:val="left"/>
      <w:pPr>
        <w:tabs>
          <w:tab w:val="num" w:pos="1062"/>
        </w:tabs>
        <w:ind w:left="1062" w:hanging="360"/>
      </w:pPr>
      <w:rPr>
        <w:rFonts w:ascii="Courier New" w:hAnsi="Courier New" w:cs="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cs="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cs="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14">
    <w:nsid w:val="514927DF"/>
    <w:multiLevelType w:val="hybridMultilevel"/>
    <w:tmpl w:val="3044F17A"/>
    <w:lvl w:ilvl="0" w:tplc="3FBA1C8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569265E9"/>
    <w:multiLevelType w:val="hybridMultilevel"/>
    <w:tmpl w:val="927AB788"/>
    <w:lvl w:ilvl="0" w:tplc="15C81FD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7372535"/>
    <w:multiLevelType w:val="hybridMultilevel"/>
    <w:tmpl w:val="D4345E0E"/>
    <w:lvl w:ilvl="0" w:tplc="D5F82E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D07F6A"/>
    <w:multiLevelType w:val="singleLevel"/>
    <w:tmpl w:val="92FA18F8"/>
    <w:lvl w:ilvl="0">
      <w:start w:val="1"/>
      <w:numFmt w:val="bullet"/>
      <w:lvlText w:val="-"/>
      <w:lvlJc w:val="left"/>
      <w:pPr>
        <w:tabs>
          <w:tab w:val="num" w:pos="405"/>
        </w:tabs>
        <w:ind w:left="405" w:hanging="360"/>
      </w:pPr>
      <w:rPr>
        <w:rFonts w:hint="default"/>
      </w:rPr>
    </w:lvl>
  </w:abstractNum>
  <w:abstractNum w:abstractNumId="18">
    <w:nsid w:val="5EF10558"/>
    <w:multiLevelType w:val="hybridMultilevel"/>
    <w:tmpl w:val="D4345E0E"/>
    <w:lvl w:ilvl="0" w:tplc="D5F82E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1C40A3"/>
    <w:multiLevelType w:val="multilevel"/>
    <w:tmpl w:val="5CF0FE5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nsid w:val="651812D7"/>
    <w:multiLevelType w:val="hybridMultilevel"/>
    <w:tmpl w:val="92EE3C2C"/>
    <w:lvl w:ilvl="0" w:tplc="60CC1176">
      <w:start w:val="1"/>
      <w:numFmt w:val="decimal"/>
      <w:lvlText w:val="%1)"/>
      <w:lvlJc w:val="left"/>
      <w:pPr>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C810F9"/>
    <w:multiLevelType w:val="hybridMultilevel"/>
    <w:tmpl w:val="CCC6569C"/>
    <w:lvl w:ilvl="0" w:tplc="3D58E47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BA105F"/>
    <w:multiLevelType w:val="hybridMultilevel"/>
    <w:tmpl w:val="18082926"/>
    <w:lvl w:ilvl="0" w:tplc="58949458">
      <w:start w:val="1"/>
      <w:numFmt w:val="lowerLetter"/>
      <w:lvlText w:val="%1)"/>
      <w:lvlJc w:val="left"/>
      <w:pPr>
        <w:ind w:left="1080" w:hanging="360"/>
      </w:pPr>
      <w:rPr>
        <w:rFonts w:hint="default"/>
        <w:b/>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17"/>
  </w:num>
  <w:num w:numId="4">
    <w:abstractNumId w:val="10"/>
  </w:num>
  <w:num w:numId="5">
    <w:abstractNumId w:val="9"/>
  </w:num>
  <w:num w:numId="6">
    <w:abstractNumId w:val="8"/>
  </w:num>
  <w:num w:numId="7">
    <w:abstractNumId w:val="0"/>
  </w:num>
  <w:num w:numId="8">
    <w:abstractNumId w:val="14"/>
  </w:num>
  <w:num w:numId="9">
    <w:abstractNumId w:val="19"/>
  </w:num>
  <w:num w:numId="10">
    <w:abstractNumId w:val="20"/>
  </w:num>
  <w:num w:numId="11">
    <w:abstractNumId w:val="21"/>
  </w:num>
  <w:num w:numId="12">
    <w:abstractNumId w:val="18"/>
  </w:num>
  <w:num w:numId="13">
    <w:abstractNumId w:val="5"/>
  </w:num>
  <w:num w:numId="14">
    <w:abstractNumId w:val="3"/>
  </w:num>
  <w:num w:numId="15">
    <w:abstractNumId w:val="15"/>
  </w:num>
  <w:num w:numId="16">
    <w:abstractNumId w:val="4"/>
  </w:num>
  <w:num w:numId="17">
    <w:abstractNumId w:val="6"/>
  </w:num>
  <w:num w:numId="18">
    <w:abstractNumId w:val="22"/>
  </w:num>
  <w:num w:numId="19">
    <w:abstractNumId w:val="7"/>
  </w:num>
  <w:num w:numId="20">
    <w:abstractNumId w:val="11"/>
  </w:num>
  <w:num w:numId="21">
    <w:abstractNumId w:val="16"/>
  </w:num>
  <w:num w:numId="22">
    <w:abstractNumId w:val="13"/>
  </w:num>
  <w:num w:numId="23">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B465D"/>
    <w:rsid w:val="0000256A"/>
    <w:rsid w:val="00003323"/>
    <w:rsid w:val="000055A6"/>
    <w:rsid w:val="00007240"/>
    <w:rsid w:val="000074DA"/>
    <w:rsid w:val="000079B6"/>
    <w:rsid w:val="00010D7A"/>
    <w:rsid w:val="000117E3"/>
    <w:rsid w:val="00012380"/>
    <w:rsid w:val="00012A0D"/>
    <w:rsid w:val="00012CAD"/>
    <w:rsid w:val="0001318B"/>
    <w:rsid w:val="00013DC4"/>
    <w:rsid w:val="00013F4C"/>
    <w:rsid w:val="00014BB1"/>
    <w:rsid w:val="00015537"/>
    <w:rsid w:val="0001636A"/>
    <w:rsid w:val="00020242"/>
    <w:rsid w:val="00022330"/>
    <w:rsid w:val="00022382"/>
    <w:rsid w:val="00022613"/>
    <w:rsid w:val="00022C05"/>
    <w:rsid w:val="000246F6"/>
    <w:rsid w:val="00025813"/>
    <w:rsid w:val="00026039"/>
    <w:rsid w:val="00026849"/>
    <w:rsid w:val="00026D5A"/>
    <w:rsid w:val="00031205"/>
    <w:rsid w:val="00031D39"/>
    <w:rsid w:val="00033681"/>
    <w:rsid w:val="000358C2"/>
    <w:rsid w:val="00035EBE"/>
    <w:rsid w:val="0003680D"/>
    <w:rsid w:val="0003684C"/>
    <w:rsid w:val="000373EB"/>
    <w:rsid w:val="0004295B"/>
    <w:rsid w:val="00042D7A"/>
    <w:rsid w:val="000445B0"/>
    <w:rsid w:val="00045850"/>
    <w:rsid w:val="00045DD5"/>
    <w:rsid w:val="000475B4"/>
    <w:rsid w:val="000509F2"/>
    <w:rsid w:val="00050A08"/>
    <w:rsid w:val="00051AE2"/>
    <w:rsid w:val="00052349"/>
    <w:rsid w:val="00052600"/>
    <w:rsid w:val="00054682"/>
    <w:rsid w:val="000549B7"/>
    <w:rsid w:val="00055843"/>
    <w:rsid w:val="00057F4D"/>
    <w:rsid w:val="00061661"/>
    <w:rsid w:val="00062B15"/>
    <w:rsid w:val="00064A3E"/>
    <w:rsid w:val="00066023"/>
    <w:rsid w:val="0006793C"/>
    <w:rsid w:val="00072A10"/>
    <w:rsid w:val="000735D6"/>
    <w:rsid w:val="000737CD"/>
    <w:rsid w:val="00074696"/>
    <w:rsid w:val="00077957"/>
    <w:rsid w:val="0008044C"/>
    <w:rsid w:val="00080E61"/>
    <w:rsid w:val="0008176C"/>
    <w:rsid w:val="00082078"/>
    <w:rsid w:val="00082F39"/>
    <w:rsid w:val="00083841"/>
    <w:rsid w:val="00084C42"/>
    <w:rsid w:val="00084EB2"/>
    <w:rsid w:val="000872B4"/>
    <w:rsid w:val="00087378"/>
    <w:rsid w:val="000875D2"/>
    <w:rsid w:val="0009011A"/>
    <w:rsid w:val="00091FD3"/>
    <w:rsid w:val="0009406A"/>
    <w:rsid w:val="00094D69"/>
    <w:rsid w:val="000973E5"/>
    <w:rsid w:val="00097DA2"/>
    <w:rsid w:val="000A12BB"/>
    <w:rsid w:val="000A148D"/>
    <w:rsid w:val="000A3879"/>
    <w:rsid w:val="000A563A"/>
    <w:rsid w:val="000A5A46"/>
    <w:rsid w:val="000A6B43"/>
    <w:rsid w:val="000A6EE3"/>
    <w:rsid w:val="000A7401"/>
    <w:rsid w:val="000B1801"/>
    <w:rsid w:val="000B299C"/>
    <w:rsid w:val="000B2A76"/>
    <w:rsid w:val="000B3FAE"/>
    <w:rsid w:val="000B48E7"/>
    <w:rsid w:val="000B4E2D"/>
    <w:rsid w:val="000B66EC"/>
    <w:rsid w:val="000B72AB"/>
    <w:rsid w:val="000B7E45"/>
    <w:rsid w:val="000C0291"/>
    <w:rsid w:val="000C20E9"/>
    <w:rsid w:val="000C2434"/>
    <w:rsid w:val="000C27E7"/>
    <w:rsid w:val="000C3797"/>
    <w:rsid w:val="000C791F"/>
    <w:rsid w:val="000D0567"/>
    <w:rsid w:val="000D14C2"/>
    <w:rsid w:val="000D26FA"/>
    <w:rsid w:val="000D4748"/>
    <w:rsid w:val="000D50B4"/>
    <w:rsid w:val="000D5604"/>
    <w:rsid w:val="000D5762"/>
    <w:rsid w:val="000D6981"/>
    <w:rsid w:val="000D6BE1"/>
    <w:rsid w:val="000D7871"/>
    <w:rsid w:val="000E1A55"/>
    <w:rsid w:val="000E1F24"/>
    <w:rsid w:val="000E28CC"/>
    <w:rsid w:val="000E29DC"/>
    <w:rsid w:val="000E2F43"/>
    <w:rsid w:val="000E4BE3"/>
    <w:rsid w:val="000E4DB2"/>
    <w:rsid w:val="000E5845"/>
    <w:rsid w:val="000E5D0D"/>
    <w:rsid w:val="000E71A6"/>
    <w:rsid w:val="000E7528"/>
    <w:rsid w:val="000E7D05"/>
    <w:rsid w:val="000F0FA9"/>
    <w:rsid w:val="000F1553"/>
    <w:rsid w:val="000F1976"/>
    <w:rsid w:val="000F25C0"/>
    <w:rsid w:val="000F455C"/>
    <w:rsid w:val="000F4593"/>
    <w:rsid w:val="000F49D5"/>
    <w:rsid w:val="000F6FB2"/>
    <w:rsid w:val="000F7F79"/>
    <w:rsid w:val="00101086"/>
    <w:rsid w:val="00102056"/>
    <w:rsid w:val="00104190"/>
    <w:rsid w:val="00105709"/>
    <w:rsid w:val="00105B72"/>
    <w:rsid w:val="001066F2"/>
    <w:rsid w:val="00106D75"/>
    <w:rsid w:val="00107175"/>
    <w:rsid w:val="00107231"/>
    <w:rsid w:val="001079BE"/>
    <w:rsid w:val="00107B2F"/>
    <w:rsid w:val="001112D7"/>
    <w:rsid w:val="00112E2F"/>
    <w:rsid w:val="00114F2B"/>
    <w:rsid w:val="0011753A"/>
    <w:rsid w:val="001203CB"/>
    <w:rsid w:val="001206AD"/>
    <w:rsid w:val="00120B65"/>
    <w:rsid w:val="001244C6"/>
    <w:rsid w:val="00126546"/>
    <w:rsid w:val="00130D17"/>
    <w:rsid w:val="00132138"/>
    <w:rsid w:val="0013326D"/>
    <w:rsid w:val="001333A8"/>
    <w:rsid w:val="0013468C"/>
    <w:rsid w:val="00134DCA"/>
    <w:rsid w:val="00134F77"/>
    <w:rsid w:val="001350C7"/>
    <w:rsid w:val="00135A2F"/>
    <w:rsid w:val="00137A5B"/>
    <w:rsid w:val="00140017"/>
    <w:rsid w:val="001403F3"/>
    <w:rsid w:val="00140564"/>
    <w:rsid w:val="00140BC5"/>
    <w:rsid w:val="00140CCB"/>
    <w:rsid w:val="0014209D"/>
    <w:rsid w:val="00144F5F"/>
    <w:rsid w:val="00145356"/>
    <w:rsid w:val="0014565C"/>
    <w:rsid w:val="0014733A"/>
    <w:rsid w:val="00147502"/>
    <w:rsid w:val="00147D54"/>
    <w:rsid w:val="00150259"/>
    <w:rsid w:val="0015383A"/>
    <w:rsid w:val="001539FD"/>
    <w:rsid w:val="0015475F"/>
    <w:rsid w:val="00154B16"/>
    <w:rsid w:val="00156D4C"/>
    <w:rsid w:val="00160651"/>
    <w:rsid w:val="00161700"/>
    <w:rsid w:val="00161912"/>
    <w:rsid w:val="001632B2"/>
    <w:rsid w:val="001641E6"/>
    <w:rsid w:val="0016582F"/>
    <w:rsid w:val="00171E47"/>
    <w:rsid w:val="00172242"/>
    <w:rsid w:val="001735B4"/>
    <w:rsid w:val="00174CF3"/>
    <w:rsid w:val="00175835"/>
    <w:rsid w:val="00175C5E"/>
    <w:rsid w:val="00176D70"/>
    <w:rsid w:val="00176F63"/>
    <w:rsid w:val="00180703"/>
    <w:rsid w:val="0018075E"/>
    <w:rsid w:val="001829FD"/>
    <w:rsid w:val="00183057"/>
    <w:rsid w:val="00183AC2"/>
    <w:rsid w:val="00184090"/>
    <w:rsid w:val="0018487F"/>
    <w:rsid w:val="00184D25"/>
    <w:rsid w:val="0018703F"/>
    <w:rsid w:val="00187AC9"/>
    <w:rsid w:val="00190728"/>
    <w:rsid w:val="001908F7"/>
    <w:rsid w:val="00191241"/>
    <w:rsid w:val="00191C53"/>
    <w:rsid w:val="00191D24"/>
    <w:rsid w:val="00192223"/>
    <w:rsid w:val="001940B8"/>
    <w:rsid w:val="001954F7"/>
    <w:rsid w:val="001956B2"/>
    <w:rsid w:val="00195F8B"/>
    <w:rsid w:val="0019630E"/>
    <w:rsid w:val="001973BC"/>
    <w:rsid w:val="00197B88"/>
    <w:rsid w:val="001A0F5F"/>
    <w:rsid w:val="001A3CB3"/>
    <w:rsid w:val="001A4185"/>
    <w:rsid w:val="001A64CC"/>
    <w:rsid w:val="001B08DA"/>
    <w:rsid w:val="001B1119"/>
    <w:rsid w:val="001B1445"/>
    <w:rsid w:val="001B23FA"/>
    <w:rsid w:val="001B4B5E"/>
    <w:rsid w:val="001B62AC"/>
    <w:rsid w:val="001B7018"/>
    <w:rsid w:val="001B7B87"/>
    <w:rsid w:val="001B7E6F"/>
    <w:rsid w:val="001C1B8D"/>
    <w:rsid w:val="001C3032"/>
    <w:rsid w:val="001C3AE6"/>
    <w:rsid w:val="001C3B9E"/>
    <w:rsid w:val="001C4265"/>
    <w:rsid w:val="001C5635"/>
    <w:rsid w:val="001C60A0"/>
    <w:rsid w:val="001C693B"/>
    <w:rsid w:val="001C76F3"/>
    <w:rsid w:val="001C7AB9"/>
    <w:rsid w:val="001D036D"/>
    <w:rsid w:val="001D45A3"/>
    <w:rsid w:val="001D47F7"/>
    <w:rsid w:val="001D4BEE"/>
    <w:rsid w:val="001D4CCF"/>
    <w:rsid w:val="001D51AB"/>
    <w:rsid w:val="001D53F9"/>
    <w:rsid w:val="001D5D80"/>
    <w:rsid w:val="001D6A07"/>
    <w:rsid w:val="001D6F22"/>
    <w:rsid w:val="001E1853"/>
    <w:rsid w:val="001E18FD"/>
    <w:rsid w:val="001E41F9"/>
    <w:rsid w:val="001E5D9A"/>
    <w:rsid w:val="001E5F92"/>
    <w:rsid w:val="001E6682"/>
    <w:rsid w:val="001E6748"/>
    <w:rsid w:val="001E7281"/>
    <w:rsid w:val="001F07F9"/>
    <w:rsid w:val="001F260A"/>
    <w:rsid w:val="001F31CA"/>
    <w:rsid w:val="001F32D1"/>
    <w:rsid w:val="001F36D5"/>
    <w:rsid w:val="001F4168"/>
    <w:rsid w:val="001F45C1"/>
    <w:rsid w:val="001F478A"/>
    <w:rsid w:val="001F4D08"/>
    <w:rsid w:val="001F5945"/>
    <w:rsid w:val="001F69DD"/>
    <w:rsid w:val="001F7290"/>
    <w:rsid w:val="00200672"/>
    <w:rsid w:val="00200B5D"/>
    <w:rsid w:val="0020253C"/>
    <w:rsid w:val="002037D8"/>
    <w:rsid w:val="00204A8A"/>
    <w:rsid w:val="00204EA0"/>
    <w:rsid w:val="0020518C"/>
    <w:rsid w:val="0020530C"/>
    <w:rsid w:val="00205AF1"/>
    <w:rsid w:val="00205D78"/>
    <w:rsid w:val="002065A4"/>
    <w:rsid w:val="00206C19"/>
    <w:rsid w:val="00207002"/>
    <w:rsid w:val="002109A0"/>
    <w:rsid w:val="00212192"/>
    <w:rsid w:val="0021244D"/>
    <w:rsid w:val="00212905"/>
    <w:rsid w:val="00212EE0"/>
    <w:rsid w:val="002136D9"/>
    <w:rsid w:val="00214E8D"/>
    <w:rsid w:val="002150C2"/>
    <w:rsid w:val="0021556C"/>
    <w:rsid w:val="00215B68"/>
    <w:rsid w:val="00216B4E"/>
    <w:rsid w:val="002209FD"/>
    <w:rsid w:val="00220A73"/>
    <w:rsid w:val="0022157A"/>
    <w:rsid w:val="00221E21"/>
    <w:rsid w:val="00222E05"/>
    <w:rsid w:val="00222EEF"/>
    <w:rsid w:val="002232D3"/>
    <w:rsid w:val="00223D7D"/>
    <w:rsid w:val="00224461"/>
    <w:rsid w:val="00224540"/>
    <w:rsid w:val="0022476E"/>
    <w:rsid w:val="00225F20"/>
    <w:rsid w:val="00226A97"/>
    <w:rsid w:val="0022732F"/>
    <w:rsid w:val="00227985"/>
    <w:rsid w:val="00231726"/>
    <w:rsid w:val="0023268C"/>
    <w:rsid w:val="00232CBF"/>
    <w:rsid w:val="0023447A"/>
    <w:rsid w:val="00236B1D"/>
    <w:rsid w:val="002425A2"/>
    <w:rsid w:val="00243312"/>
    <w:rsid w:val="00243D5F"/>
    <w:rsid w:val="00245E88"/>
    <w:rsid w:val="0024615D"/>
    <w:rsid w:val="00246631"/>
    <w:rsid w:val="0024689F"/>
    <w:rsid w:val="0024775A"/>
    <w:rsid w:val="002512D9"/>
    <w:rsid w:val="0025143C"/>
    <w:rsid w:val="00251F25"/>
    <w:rsid w:val="00253FF1"/>
    <w:rsid w:val="002546EE"/>
    <w:rsid w:val="00254C81"/>
    <w:rsid w:val="00254FF7"/>
    <w:rsid w:val="00255C5F"/>
    <w:rsid w:val="0025629F"/>
    <w:rsid w:val="002568D0"/>
    <w:rsid w:val="00256B14"/>
    <w:rsid w:val="0025792B"/>
    <w:rsid w:val="00260BBF"/>
    <w:rsid w:val="00261410"/>
    <w:rsid w:val="00261975"/>
    <w:rsid w:val="002628E0"/>
    <w:rsid w:val="002629F9"/>
    <w:rsid w:val="00262D1B"/>
    <w:rsid w:val="0026589B"/>
    <w:rsid w:val="00265B52"/>
    <w:rsid w:val="002661E6"/>
    <w:rsid w:val="002666A6"/>
    <w:rsid w:val="002671F2"/>
    <w:rsid w:val="00270562"/>
    <w:rsid w:val="00272CD0"/>
    <w:rsid w:val="00272F84"/>
    <w:rsid w:val="002739D2"/>
    <w:rsid w:val="00274846"/>
    <w:rsid w:val="00274F45"/>
    <w:rsid w:val="00275039"/>
    <w:rsid w:val="00275B65"/>
    <w:rsid w:val="0027658D"/>
    <w:rsid w:val="00276675"/>
    <w:rsid w:val="00276960"/>
    <w:rsid w:val="00276E7E"/>
    <w:rsid w:val="00277109"/>
    <w:rsid w:val="002809CB"/>
    <w:rsid w:val="00281B9F"/>
    <w:rsid w:val="00281BD3"/>
    <w:rsid w:val="002832DE"/>
    <w:rsid w:val="002837BC"/>
    <w:rsid w:val="00285A3F"/>
    <w:rsid w:val="00285F9E"/>
    <w:rsid w:val="002864C7"/>
    <w:rsid w:val="00286C47"/>
    <w:rsid w:val="00286C92"/>
    <w:rsid w:val="00290FF3"/>
    <w:rsid w:val="00294687"/>
    <w:rsid w:val="00294C18"/>
    <w:rsid w:val="002952E6"/>
    <w:rsid w:val="002959BA"/>
    <w:rsid w:val="002A0307"/>
    <w:rsid w:val="002A046A"/>
    <w:rsid w:val="002A0575"/>
    <w:rsid w:val="002A05A5"/>
    <w:rsid w:val="002A22DE"/>
    <w:rsid w:val="002A28D1"/>
    <w:rsid w:val="002A4338"/>
    <w:rsid w:val="002A55F6"/>
    <w:rsid w:val="002A59AF"/>
    <w:rsid w:val="002A788D"/>
    <w:rsid w:val="002B03CE"/>
    <w:rsid w:val="002B0FBC"/>
    <w:rsid w:val="002B1DA5"/>
    <w:rsid w:val="002B1EE3"/>
    <w:rsid w:val="002B2CB4"/>
    <w:rsid w:val="002B2D98"/>
    <w:rsid w:val="002B4FCE"/>
    <w:rsid w:val="002B535B"/>
    <w:rsid w:val="002B5E33"/>
    <w:rsid w:val="002B6BFF"/>
    <w:rsid w:val="002B76EF"/>
    <w:rsid w:val="002C01D9"/>
    <w:rsid w:val="002C0BB1"/>
    <w:rsid w:val="002C3299"/>
    <w:rsid w:val="002D0DCB"/>
    <w:rsid w:val="002D1006"/>
    <w:rsid w:val="002D30F1"/>
    <w:rsid w:val="002D51AA"/>
    <w:rsid w:val="002D7C3D"/>
    <w:rsid w:val="002E0140"/>
    <w:rsid w:val="002E0191"/>
    <w:rsid w:val="002E15A4"/>
    <w:rsid w:val="002E1C14"/>
    <w:rsid w:val="002E247C"/>
    <w:rsid w:val="002E2EBE"/>
    <w:rsid w:val="002E3469"/>
    <w:rsid w:val="002E42A7"/>
    <w:rsid w:val="002E55B4"/>
    <w:rsid w:val="002E580E"/>
    <w:rsid w:val="002E5DFB"/>
    <w:rsid w:val="002E7841"/>
    <w:rsid w:val="002F2A3B"/>
    <w:rsid w:val="002F3D0B"/>
    <w:rsid w:val="002F495E"/>
    <w:rsid w:val="002F4BFA"/>
    <w:rsid w:val="002F66F3"/>
    <w:rsid w:val="002F6820"/>
    <w:rsid w:val="002F686B"/>
    <w:rsid w:val="002F7363"/>
    <w:rsid w:val="00302C09"/>
    <w:rsid w:val="00302F6D"/>
    <w:rsid w:val="0030408A"/>
    <w:rsid w:val="0030647D"/>
    <w:rsid w:val="00306F4D"/>
    <w:rsid w:val="00314243"/>
    <w:rsid w:val="00314456"/>
    <w:rsid w:val="00314557"/>
    <w:rsid w:val="0031549B"/>
    <w:rsid w:val="00315524"/>
    <w:rsid w:val="003177C6"/>
    <w:rsid w:val="003223BF"/>
    <w:rsid w:val="003241CF"/>
    <w:rsid w:val="003242FA"/>
    <w:rsid w:val="00324A14"/>
    <w:rsid w:val="003252FF"/>
    <w:rsid w:val="003263AE"/>
    <w:rsid w:val="0032685D"/>
    <w:rsid w:val="00327AC1"/>
    <w:rsid w:val="00327C81"/>
    <w:rsid w:val="00331D5F"/>
    <w:rsid w:val="003327B2"/>
    <w:rsid w:val="0033318E"/>
    <w:rsid w:val="00334607"/>
    <w:rsid w:val="00334A1B"/>
    <w:rsid w:val="003355BF"/>
    <w:rsid w:val="003403D6"/>
    <w:rsid w:val="00341A0B"/>
    <w:rsid w:val="00341C4F"/>
    <w:rsid w:val="00342EC7"/>
    <w:rsid w:val="00343274"/>
    <w:rsid w:val="00343AB2"/>
    <w:rsid w:val="00343BA1"/>
    <w:rsid w:val="003443DE"/>
    <w:rsid w:val="003444D8"/>
    <w:rsid w:val="003449DE"/>
    <w:rsid w:val="00345849"/>
    <w:rsid w:val="003464F3"/>
    <w:rsid w:val="00346507"/>
    <w:rsid w:val="00346C33"/>
    <w:rsid w:val="003476F2"/>
    <w:rsid w:val="00347785"/>
    <w:rsid w:val="00347C16"/>
    <w:rsid w:val="00351956"/>
    <w:rsid w:val="00352514"/>
    <w:rsid w:val="00353A85"/>
    <w:rsid w:val="00353C47"/>
    <w:rsid w:val="00355181"/>
    <w:rsid w:val="003551C7"/>
    <w:rsid w:val="00355BA0"/>
    <w:rsid w:val="00355EDC"/>
    <w:rsid w:val="00356B9C"/>
    <w:rsid w:val="0035774E"/>
    <w:rsid w:val="003578B4"/>
    <w:rsid w:val="00361E6C"/>
    <w:rsid w:val="00361F69"/>
    <w:rsid w:val="00362B88"/>
    <w:rsid w:val="00364389"/>
    <w:rsid w:val="003649DA"/>
    <w:rsid w:val="00365046"/>
    <w:rsid w:val="003659BC"/>
    <w:rsid w:val="00367F55"/>
    <w:rsid w:val="00373A8F"/>
    <w:rsid w:val="00376D3D"/>
    <w:rsid w:val="0037798F"/>
    <w:rsid w:val="00377B1B"/>
    <w:rsid w:val="00381931"/>
    <w:rsid w:val="00382942"/>
    <w:rsid w:val="00382F07"/>
    <w:rsid w:val="0038329B"/>
    <w:rsid w:val="003846A6"/>
    <w:rsid w:val="00384F29"/>
    <w:rsid w:val="0038542F"/>
    <w:rsid w:val="00386BF2"/>
    <w:rsid w:val="00387454"/>
    <w:rsid w:val="00390FB6"/>
    <w:rsid w:val="0039178E"/>
    <w:rsid w:val="0039273A"/>
    <w:rsid w:val="00394F71"/>
    <w:rsid w:val="00395015"/>
    <w:rsid w:val="00396B8A"/>
    <w:rsid w:val="00396EED"/>
    <w:rsid w:val="003A0341"/>
    <w:rsid w:val="003A1C0D"/>
    <w:rsid w:val="003A23DB"/>
    <w:rsid w:val="003A2D64"/>
    <w:rsid w:val="003A4627"/>
    <w:rsid w:val="003A53FF"/>
    <w:rsid w:val="003A76F2"/>
    <w:rsid w:val="003B06F0"/>
    <w:rsid w:val="003B0AC1"/>
    <w:rsid w:val="003B0D9D"/>
    <w:rsid w:val="003B1CBA"/>
    <w:rsid w:val="003B1FCF"/>
    <w:rsid w:val="003B215D"/>
    <w:rsid w:val="003B2930"/>
    <w:rsid w:val="003B3183"/>
    <w:rsid w:val="003B4399"/>
    <w:rsid w:val="003B5A41"/>
    <w:rsid w:val="003B6181"/>
    <w:rsid w:val="003B6E34"/>
    <w:rsid w:val="003B7374"/>
    <w:rsid w:val="003C016E"/>
    <w:rsid w:val="003C0E26"/>
    <w:rsid w:val="003C2A3B"/>
    <w:rsid w:val="003C5922"/>
    <w:rsid w:val="003C635E"/>
    <w:rsid w:val="003C6E88"/>
    <w:rsid w:val="003D05A6"/>
    <w:rsid w:val="003D12B7"/>
    <w:rsid w:val="003D1D1A"/>
    <w:rsid w:val="003D2574"/>
    <w:rsid w:val="003D298C"/>
    <w:rsid w:val="003D2DA4"/>
    <w:rsid w:val="003D3BA7"/>
    <w:rsid w:val="003D3C63"/>
    <w:rsid w:val="003D4102"/>
    <w:rsid w:val="003D5120"/>
    <w:rsid w:val="003D5804"/>
    <w:rsid w:val="003D6291"/>
    <w:rsid w:val="003D7D73"/>
    <w:rsid w:val="003E0710"/>
    <w:rsid w:val="003E121A"/>
    <w:rsid w:val="003E65E0"/>
    <w:rsid w:val="003E7944"/>
    <w:rsid w:val="003E7E68"/>
    <w:rsid w:val="003F1869"/>
    <w:rsid w:val="003F2B94"/>
    <w:rsid w:val="003F39BF"/>
    <w:rsid w:val="003F41AE"/>
    <w:rsid w:val="003F41FF"/>
    <w:rsid w:val="003F45A3"/>
    <w:rsid w:val="003F6065"/>
    <w:rsid w:val="003F6338"/>
    <w:rsid w:val="003F77AF"/>
    <w:rsid w:val="00400221"/>
    <w:rsid w:val="004010A0"/>
    <w:rsid w:val="004010ED"/>
    <w:rsid w:val="004017FB"/>
    <w:rsid w:val="00401CD3"/>
    <w:rsid w:val="004032C7"/>
    <w:rsid w:val="00404EEF"/>
    <w:rsid w:val="00404FBB"/>
    <w:rsid w:val="0040563C"/>
    <w:rsid w:val="00405DD3"/>
    <w:rsid w:val="00405DF8"/>
    <w:rsid w:val="00407D36"/>
    <w:rsid w:val="004100F2"/>
    <w:rsid w:val="0041031F"/>
    <w:rsid w:val="00410FBA"/>
    <w:rsid w:val="004116AA"/>
    <w:rsid w:val="00411DDE"/>
    <w:rsid w:val="00412D7F"/>
    <w:rsid w:val="004139AD"/>
    <w:rsid w:val="0041406B"/>
    <w:rsid w:val="004140CB"/>
    <w:rsid w:val="00414BEF"/>
    <w:rsid w:val="00414E27"/>
    <w:rsid w:val="004152A4"/>
    <w:rsid w:val="0041532A"/>
    <w:rsid w:val="004155A9"/>
    <w:rsid w:val="00415745"/>
    <w:rsid w:val="00420D23"/>
    <w:rsid w:val="00421ED1"/>
    <w:rsid w:val="004231A1"/>
    <w:rsid w:val="004231B8"/>
    <w:rsid w:val="004251F7"/>
    <w:rsid w:val="00430C54"/>
    <w:rsid w:val="0043259D"/>
    <w:rsid w:val="004327F3"/>
    <w:rsid w:val="00432CBF"/>
    <w:rsid w:val="00432D6E"/>
    <w:rsid w:val="004367E7"/>
    <w:rsid w:val="00437079"/>
    <w:rsid w:val="004374D4"/>
    <w:rsid w:val="0044013B"/>
    <w:rsid w:val="00440D34"/>
    <w:rsid w:val="004431F7"/>
    <w:rsid w:val="00444B09"/>
    <w:rsid w:val="00444DB5"/>
    <w:rsid w:val="0044667B"/>
    <w:rsid w:val="004473C6"/>
    <w:rsid w:val="00447F44"/>
    <w:rsid w:val="0045083E"/>
    <w:rsid w:val="00451E22"/>
    <w:rsid w:val="00451F34"/>
    <w:rsid w:val="004520BB"/>
    <w:rsid w:val="0045246C"/>
    <w:rsid w:val="00453D0B"/>
    <w:rsid w:val="00453E0D"/>
    <w:rsid w:val="00454169"/>
    <w:rsid w:val="0045491B"/>
    <w:rsid w:val="00460CD7"/>
    <w:rsid w:val="00461F15"/>
    <w:rsid w:val="00462395"/>
    <w:rsid w:val="00462E45"/>
    <w:rsid w:val="0046391E"/>
    <w:rsid w:val="0046447A"/>
    <w:rsid w:val="004672CF"/>
    <w:rsid w:val="0047275F"/>
    <w:rsid w:val="00472D7B"/>
    <w:rsid w:val="00473ABE"/>
    <w:rsid w:val="00473C48"/>
    <w:rsid w:val="00473ECD"/>
    <w:rsid w:val="004745D2"/>
    <w:rsid w:val="0047594F"/>
    <w:rsid w:val="004773F8"/>
    <w:rsid w:val="004775B4"/>
    <w:rsid w:val="00480DFC"/>
    <w:rsid w:val="004818C6"/>
    <w:rsid w:val="004818FC"/>
    <w:rsid w:val="00482F2F"/>
    <w:rsid w:val="00485A29"/>
    <w:rsid w:val="00485EB8"/>
    <w:rsid w:val="0048604D"/>
    <w:rsid w:val="00491580"/>
    <w:rsid w:val="0049316F"/>
    <w:rsid w:val="00494B41"/>
    <w:rsid w:val="00495DC2"/>
    <w:rsid w:val="00497042"/>
    <w:rsid w:val="004A038C"/>
    <w:rsid w:val="004A0693"/>
    <w:rsid w:val="004A070C"/>
    <w:rsid w:val="004A2B70"/>
    <w:rsid w:val="004A3126"/>
    <w:rsid w:val="004A328A"/>
    <w:rsid w:val="004A435D"/>
    <w:rsid w:val="004A4FB2"/>
    <w:rsid w:val="004A5DC7"/>
    <w:rsid w:val="004A5ECD"/>
    <w:rsid w:val="004A6DDD"/>
    <w:rsid w:val="004A6E29"/>
    <w:rsid w:val="004B0CC1"/>
    <w:rsid w:val="004B2406"/>
    <w:rsid w:val="004B4879"/>
    <w:rsid w:val="004B4919"/>
    <w:rsid w:val="004B51F4"/>
    <w:rsid w:val="004B545A"/>
    <w:rsid w:val="004B61FB"/>
    <w:rsid w:val="004B7E5D"/>
    <w:rsid w:val="004B7EB9"/>
    <w:rsid w:val="004C0992"/>
    <w:rsid w:val="004C09AE"/>
    <w:rsid w:val="004C145D"/>
    <w:rsid w:val="004C21FF"/>
    <w:rsid w:val="004C28D6"/>
    <w:rsid w:val="004C30C9"/>
    <w:rsid w:val="004C6070"/>
    <w:rsid w:val="004C60E8"/>
    <w:rsid w:val="004C6DEC"/>
    <w:rsid w:val="004C7257"/>
    <w:rsid w:val="004C7BED"/>
    <w:rsid w:val="004D1CF4"/>
    <w:rsid w:val="004D47CE"/>
    <w:rsid w:val="004D4ED9"/>
    <w:rsid w:val="004D5D90"/>
    <w:rsid w:val="004D6EE3"/>
    <w:rsid w:val="004D77F8"/>
    <w:rsid w:val="004D7A57"/>
    <w:rsid w:val="004D7BA6"/>
    <w:rsid w:val="004E1272"/>
    <w:rsid w:val="004E1D77"/>
    <w:rsid w:val="004E2481"/>
    <w:rsid w:val="004E25E5"/>
    <w:rsid w:val="004E2D91"/>
    <w:rsid w:val="004E340C"/>
    <w:rsid w:val="004E4012"/>
    <w:rsid w:val="004E4A43"/>
    <w:rsid w:val="004E51AA"/>
    <w:rsid w:val="004E6770"/>
    <w:rsid w:val="004E6F8B"/>
    <w:rsid w:val="004E7979"/>
    <w:rsid w:val="004E7E1C"/>
    <w:rsid w:val="004F02EC"/>
    <w:rsid w:val="004F0494"/>
    <w:rsid w:val="004F717C"/>
    <w:rsid w:val="005001F4"/>
    <w:rsid w:val="00500522"/>
    <w:rsid w:val="00500815"/>
    <w:rsid w:val="00500954"/>
    <w:rsid w:val="005016B5"/>
    <w:rsid w:val="0050186C"/>
    <w:rsid w:val="00501D79"/>
    <w:rsid w:val="00502F11"/>
    <w:rsid w:val="00502F41"/>
    <w:rsid w:val="00503E24"/>
    <w:rsid w:val="00504A75"/>
    <w:rsid w:val="00505238"/>
    <w:rsid w:val="00505DF5"/>
    <w:rsid w:val="0050655A"/>
    <w:rsid w:val="00507A32"/>
    <w:rsid w:val="005112AA"/>
    <w:rsid w:val="0051192A"/>
    <w:rsid w:val="005122F2"/>
    <w:rsid w:val="00512C4A"/>
    <w:rsid w:val="00513185"/>
    <w:rsid w:val="00515413"/>
    <w:rsid w:val="005155C3"/>
    <w:rsid w:val="005171D9"/>
    <w:rsid w:val="0051780D"/>
    <w:rsid w:val="0052015D"/>
    <w:rsid w:val="005215B3"/>
    <w:rsid w:val="00522875"/>
    <w:rsid w:val="00523A82"/>
    <w:rsid w:val="00524EBB"/>
    <w:rsid w:val="00524F8B"/>
    <w:rsid w:val="00526FFA"/>
    <w:rsid w:val="0053079A"/>
    <w:rsid w:val="005311AF"/>
    <w:rsid w:val="00531C53"/>
    <w:rsid w:val="00534B4B"/>
    <w:rsid w:val="005367CB"/>
    <w:rsid w:val="00536E41"/>
    <w:rsid w:val="00537985"/>
    <w:rsid w:val="00537AAB"/>
    <w:rsid w:val="00537CB9"/>
    <w:rsid w:val="00540872"/>
    <w:rsid w:val="00542792"/>
    <w:rsid w:val="00542E22"/>
    <w:rsid w:val="00544045"/>
    <w:rsid w:val="00545702"/>
    <w:rsid w:val="0054579B"/>
    <w:rsid w:val="00545C04"/>
    <w:rsid w:val="00546556"/>
    <w:rsid w:val="00546DB2"/>
    <w:rsid w:val="00547BB2"/>
    <w:rsid w:val="00547D3D"/>
    <w:rsid w:val="00550199"/>
    <w:rsid w:val="005507BB"/>
    <w:rsid w:val="005509BE"/>
    <w:rsid w:val="00551120"/>
    <w:rsid w:val="00551720"/>
    <w:rsid w:val="0055190C"/>
    <w:rsid w:val="005528F0"/>
    <w:rsid w:val="00554A36"/>
    <w:rsid w:val="00555326"/>
    <w:rsid w:val="00555F73"/>
    <w:rsid w:val="0055624A"/>
    <w:rsid w:val="0055624C"/>
    <w:rsid w:val="00556426"/>
    <w:rsid w:val="005577A1"/>
    <w:rsid w:val="00560B9E"/>
    <w:rsid w:val="0056271D"/>
    <w:rsid w:val="00563946"/>
    <w:rsid w:val="00564044"/>
    <w:rsid w:val="005643AA"/>
    <w:rsid w:val="00564CAE"/>
    <w:rsid w:val="00565033"/>
    <w:rsid w:val="00565347"/>
    <w:rsid w:val="0057120E"/>
    <w:rsid w:val="005732DE"/>
    <w:rsid w:val="005733B6"/>
    <w:rsid w:val="00573B8A"/>
    <w:rsid w:val="00574074"/>
    <w:rsid w:val="005745F5"/>
    <w:rsid w:val="005746A9"/>
    <w:rsid w:val="00574B7F"/>
    <w:rsid w:val="00574BA1"/>
    <w:rsid w:val="0057585F"/>
    <w:rsid w:val="00575F45"/>
    <w:rsid w:val="00576240"/>
    <w:rsid w:val="00577B11"/>
    <w:rsid w:val="005801FE"/>
    <w:rsid w:val="00581E42"/>
    <w:rsid w:val="00581E52"/>
    <w:rsid w:val="00582456"/>
    <w:rsid w:val="0058271A"/>
    <w:rsid w:val="00582F9B"/>
    <w:rsid w:val="00583030"/>
    <w:rsid w:val="00584538"/>
    <w:rsid w:val="00586A02"/>
    <w:rsid w:val="00586FC1"/>
    <w:rsid w:val="005870D8"/>
    <w:rsid w:val="00590325"/>
    <w:rsid w:val="00591DE6"/>
    <w:rsid w:val="00592249"/>
    <w:rsid w:val="0059264B"/>
    <w:rsid w:val="00592818"/>
    <w:rsid w:val="00593081"/>
    <w:rsid w:val="0059386B"/>
    <w:rsid w:val="0059433C"/>
    <w:rsid w:val="0059521E"/>
    <w:rsid w:val="00595B37"/>
    <w:rsid w:val="00595E58"/>
    <w:rsid w:val="005970C1"/>
    <w:rsid w:val="00597126"/>
    <w:rsid w:val="00597FF3"/>
    <w:rsid w:val="005A00B0"/>
    <w:rsid w:val="005A03F0"/>
    <w:rsid w:val="005A10FD"/>
    <w:rsid w:val="005A572B"/>
    <w:rsid w:val="005A6B54"/>
    <w:rsid w:val="005A728B"/>
    <w:rsid w:val="005A7686"/>
    <w:rsid w:val="005B0275"/>
    <w:rsid w:val="005B0590"/>
    <w:rsid w:val="005B07D6"/>
    <w:rsid w:val="005B0F7E"/>
    <w:rsid w:val="005B14A0"/>
    <w:rsid w:val="005B168C"/>
    <w:rsid w:val="005B1C67"/>
    <w:rsid w:val="005B2092"/>
    <w:rsid w:val="005B2A1E"/>
    <w:rsid w:val="005B2A81"/>
    <w:rsid w:val="005B2CD8"/>
    <w:rsid w:val="005B2D46"/>
    <w:rsid w:val="005B3952"/>
    <w:rsid w:val="005B3C44"/>
    <w:rsid w:val="005B47E3"/>
    <w:rsid w:val="005B5557"/>
    <w:rsid w:val="005B6D0D"/>
    <w:rsid w:val="005B6F08"/>
    <w:rsid w:val="005B70F7"/>
    <w:rsid w:val="005C02B6"/>
    <w:rsid w:val="005C02D7"/>
    <w:rsid w:val="005C256E"/>
    <w:rsid w:val="005C2FD7"/>
    <w:rsid w:val="005C5ADD"/>
    <w:rsid w:val="005C6A61"/>
    <w:rsid w:val="005C6D3E"/>
    <w:rsid w:val="005C7942"/>
    <w:rsid w:val="005D1637"/>
    <w:rsid w:val="005D342B"/>
    <w:rsid w:val="005D3DEA"/>
    <w:rsid w:val="005D5095"/>
    <w:rsid w:val="005D66F7"/>
    <w:rsid w:val="005E0133"/>
    <w:rsid w:val="005E1448"/>
    <w:rsid w:val="005E2981"/>
    <w:rsid w:val="005E2A55"/>
    <w:rsid w:val="005E2EB8"/>
    <w:rsid w:val="005E4192"/>
    <w:rsid w:val="005F0E71"/>
    <w:rsid w:val="005F1627"/>
    <w:rsid w:val="005F19C6"/>
    <w:rsid w:val="005F35D8"/>
    <w:rsid w:val="005F43E9"/>
    <w:rsid w:val="005F5E70"/>
    <w:rsid w:val="005F6097"/>
    <w:rsid w:val="005F6F8A"/>
    <w:rsid w:val="005F7045"/>
    <w:rsid w:val="005F7273"/>
    <w:rsid w:val="00600B08"/>
    <w:rsid w:val="006012B8"/>
    <w:rsid w:val="00602D29"/>
    <w:rsid w:val="0060494A"/>
    <w:rsid w:val="006051C6"/>
    <w:rsid w:val="0060562C"/>
    <w:rsid w:val="00613DAE"/>
    <w:rsid w:val="00613F4E"/>
    <w:rsid w:val="0061411E"/>
    <w:rsid w:val="006142E6"/>
    <w:rsid w:val="00614694"/>
    <w:rsid w:val="006151DB"/>
    <w:rsid w:val="006158E2"/>
    <w:rsid w:val="00616218"/>
    <w:rsid w:val="00616489"/>
    <w:rsid w:val="00616FF3"/>
    <w:rsid w:val="00620451"/>
    <w:rsid w:val="00621A47"/>
    <w:rsid w:val="00621A7E"/>
    <w:rsid w:val="00622CC6"/>
    <w:rsid w:val="00623522"/>
    <w:rsid w:val="00624922"/>
    <w:rsid w:val="00625371"/>
    <w:rsid w:val="00625F81"/>
    <w:rsid w:val="00626894"/>
    <w:rsid w:val="00626CC1"/>
    <w:rsid w:val="00627130"/>
    <w:rsid w:val="00627937"/>
    <w:rsid w:val="00627A8B"/>
    <w:rsid w:val="006319B0"/>
    <w:rsid w:val="00631B3A"/>
    <w:rsid w:val="00631C55"/>
    <w:rsid w:val="00633AD8"/>
    <w:rsid w:val="0063406C"/>
    <w:rsid w:val="00634A78"/>
    <w:rsid w:val="00635871"/>
    <w:rsid w:val="00637DF6"/>
    <w:rsid w:val="006427F3"/>
    <w:rsid w:val="00643D8C"/>
    <w:rsid w:val="00644240"/>
    <w:rsid w:val="00646FE7"/>
    <w:rsid w:val="00647826"/>
    <w:rsid w:val="00647F8B"/>
    <w:rsid w:val="006514DE"/>
    <w:rsid w:val="00652A1E"/>
    <w:rsid w:val="006540CE"/>
    <w:rsid w:val="00654313"/>
    <w:rsid w:val="0065450F"/>
    <w:rsid w:val="006546EA"/>
    <w:rsid w:val="00656316"/>
    <w:rsid w:val="006574AE"/>
    <w:rsid w:val="00660D98"/>
    <w:rsid w:val="00661AAD"/>
    <w:rsid w:val="006626A6"/>
    <w:rsid w:val="00663BD6"/>
    <w:rsid w:val="00663EEC"/>
    <w:rsid w:val="00664391"/>
    <w:rsid w:val="00665EA4"/>
    <w:rsid w:val="00666B66"/>
    <w:rsid w:val="00666F61"/>
    <w:rsid w:val="00666FED"/>
    <w:rsid w:val="00667A93"/>
    <w:rsid w:val="006713A0"/>
    <w:rsid w:val="006719D5"/>
    <w:rsid w:val="00671C50"/>
    <w:rsid w:val="00671D61"/>
    <w:rsid w:val="00671DFE"/>
    <w:rsid w:val="00672F5C"/>
    <w:rsid w:val="006730F8"/>
    <w:rsid w:val="0067522D"/>
    <w:rsid w:val="00676C7D"/>
    <w:rsid w:val="0067701B"/>
    <w:rsid w:val="0067736F"/>
    <w:rsid w:val="0067757D"/>
    <w:rsid w:val="00681721"/>
    <w:rsid w:val="00682258"/>
    <w:rsid w:val="0068386A"/>
    <w:rsid w:val="00684D6B"/>
    <w:rsid w:val="00685258"/>
    <w:rsid w:val="00686BD1"/>
    <w:rsid w:val="00690474"/>
    <w:rsid w:val="00690E4A"/>
    <w:rsid w:val="00690E9F"/>
    <w:rsid w:val="00690EAC"/>
    <w:rsid w:val="00692D8C"/>
    <w:rsid w:val="00696147"/>
    <w:rsid w:val="006969EC"/>
    <w:rsid w:val="00696C94"/>
    <w:rsid w:val="00697877"/>
    <w:rsid w:val="00697E71"/>
    <w:rsid w:val="006A0BF2"/>
    <w:rsid w:val="006A1A85"/>
    <w:rsid w:val="006A41F9"/>
    <w:rsid w:val="006A5630"/>
    <w:rsid w:val="006A6EAA"/>
    <w:rsid w:val="006A72CA"/>
    <w:rsid w:val="006A7924"/>
    <w:rsid w:val="006A79D1"/>
    <w:rsid w:val="006A7ED8"/>
    <w:rsid w:val="006B19AC"/>
    <w:rsid w:val="006B1AED"/>
    <w:rsid w:val="006B2984"/>
    <w:rsid w:val="006B2AD4"/>
    <w:rsid w:val="006B38EA"/>
    <w:rsid w:val="006B430D"/>
    <w:rsid w:val="006B460C"/>
    <w:rsid w:val="006B49DB"/>
    <w:rsid w:val="006B4D3F"/>
    <w:rsid w:val="006B500D"/>
    <w:rsid w:val="006B5E5F"/>
    <w:rsid w:val="006B673F"/>
    <w:rsid w:val="006B7E0A"/>
    <w:rsid w:val="006C2167"/>
    <w:rsid w:val="006C3123"/>
    <w:rsid w:val="006C508B"/>
    <w:rsid w:val="006C667F"/>
    <w:rsid w:val="006C6E84"/>
    <w:rsid w:val="006D088D"/>
    <w:rsid w:val="006D1492"/>
    <w:rsid w:val="006D171D"/>
    <w:rsid w:val="006D1F5B"/>
    <w:rsid w:val="006D359D"/>
    <w:rsid w:val="006D3720"/>
    <w:rsid w:val="006D3CA4"/>
    <w:rsid w:val="006D5CCF"/>
    <w:rsid w:val="006D7198"/>
    <w:rsid w:val="006E030E"/>
    <w:rsid w:val="006E0FF2"/>
    <w:rsid w:val="006E3DEA"/>
    <w:rsid w:val="006E4315"/>
    <w:rsid w:val="006E4D70"/>
    <w:rsid w:val="006E5139"/>
    <w:rsid w:val="006E5222"/>
    <w:rsid w:val="006E5F03"/>
    <w:rsid w:val="006E75B7"/>
    <w:rsid w:val="006E7C78"/>
    <w:rsid w:val="006F0816"/>
    <w:rsid w:val="006F15F1"/>
    <w:rsid w:val="006F33CE"/>
    <w:rsid w:val="006F3DEA"/>
    <w:rsid w:val="006F4DCA"/>
    <w:rsid w:val="006F56A6"/>
    <w:rsid w:val="006F56FC"/>
    <w:rsid w:val="006F5D8B"/>
    <w:rsid w:val="006F7881"/>
    <w:rsid w:val="006F7B3A"/>
    <w:rsid w:val="00701704"/>
    <w:rsid w:val="00702D7A"/>
    <w:rsid w:val="00704263"/>
    <w:rsid w:val="007046DC"/>
    <w:rsid w:val="00704866"/>
    <w:rsid w:val="007049B1"/>
    <w:rsid w:val="00704B47"/>
    <w:rsid w:val="00704E2E"/>
    <w:rsid w:val="007059DC"/>
    <w:rsid w:val="0070704C"/>
    <w:rsid w:val="0070704F"/>
    <w:rsid w:val="0070746D"/>
    <w:rsid w:val="00707C42"/>
    <w:rsid w:val="00711C30"/>
    <w:rsid w:val="00712934"/>
    <w:rsid w:val="00713C8B"/>
    <w:rsid w:val="00714194"/>
    <w:rsid w:val="00714521"/>
    <w:rsid w:val="0071537A"/>
    <w:rsid w:val="00715461"/>
    <w:rsid w:val="00716CF6"/>
    <w:rsid w:val="00717F33"/>
    <w:rsid w:val="00720CD8"/>
    <w:rsid w:val="007221CD"/>
    <w:rsid w:val="007233FD"/>
    <w:rsid w:val="007238BC"/>
    <w:rsid w:val="007239DC"/>
    <w:rsid w:val="00724ADF"/>
    <w:rsid w:val="00724BCD"/>
    <w:rsid w:val="00725B34"/>
    <w:rsid w:val="007265BA"/>
    <w:rsid w:val="00727798"/>
    <w:rsid w:val="0072793A"/>
    <w:rsid w:val="00730038"/>
    <w:rsid w:val="007341B1"/>
    <w:rsid w:val="007355F8"/>
    <w:rsid w:val="00735662"/>
    <w:rsid w:val="00735B25"/>
    <w:rsid w:val="00736361"/>
    <w:rsid w:val="00740B58"/>
    <w:rsid w:val="007412E8"/>
    <w:rsid w:val="00742D4A"/>
    <w:rsid w:val="007433D7"/>
    <w:rsid w:val="0074352E"/>
    <w:rsid w:val="00745EA5"/>
    <w:rsid w:val="007464C6"/>
    <w:rsid w:val="007467B4"/>
    <w:rsid w:val="00747913"/>
    <w:rsid w:val="00747C8C"/>
    <w:rsid w:val="00750704"/>
    <w:rsid w:val="00751612"/>
    <w:rsid w:val="0075233F"/>
    <w:rsid w:val="0075257C"/>
    <w:rsid w:val="007529D0"/>
    <w:rsid w:val="00753209"/>
    <w:rsid w:val="00753C1F"/>
    <w:rsid w:val="00755A79"/>
    <w:rsid w:val="00760862"/>
    <w:rsid w:val="00761C6F"/>
    <w:rsid w:val="007632B0"/>
    <w:rsid w:val="00763531"/>
    <w:rsid w:val="007654A0"/>
    <w:rsid w:val="00765742"/>
    <w:rsid w:val="00765799"/>
    <w:rsid w:val="00766B50"/>
    <w:rsid w:val="00767414"/>
    <w:rsid w:val="00770104"/>
    <w:rsid w:val="0077173C"/>
    <w:rsid w:val="00771BE1"/>
    <w:rsid w:val="00771EA3"/>
    <w:rsid w:val="0077412A"/>
    <w:rsid w:val="007758E6"/>
    <w:rsid w:val="007809D3"/>
    <w:rsid w:val="007810BC"/>
    <w:rsid w:val="0078194A"/>
    <w:rsid w:val="00781B7E"/>
    <w:rsid w:val="0078209D"/>
    <w:rsid w:val="00782E4E"/>
    <w:rsid w:val="007830AB"/>
    <w:rsid w:val="0078310D"/>
    <w:rsid w:val="00783260"/>
    <w:rsid w:val="007841DE"/>
    <w:rsid w:val="00784DDA"/>
    <w:rsid w:val="00785405"/>
    <w:rsid w:val="007855FC"/>
    <w:rsid w:val="00785890"/>
    <w:rsid w:val="00785A01"/>
    <w:rsid w:val="007875B2"/>
    <w:rsid w:val="0079131F"/>
    <w:rsid w:val="007916FD"/>
    <w:rsid w:val="007931DC"/>
    <w:rsid w:val="0079625C"/>
    <w:rsid w:val="0079798F"/>
    <w:rsid w:val="007A2640"/>
    <w:rsid w:val="007A2B76"/>
    <w:rsid w:val="007A3F45"/>
    <w:rsid w:val="007A446F"/>
    <w:rsid w:val="007A5B02"/>
    <w:rsid w:val="007A5DFB"/>
    <w:rsid w:val="007A6B89"/>
    <w:rsid w:val="007A7380"/>
    <w:rsid w:val="007B095E"/>
    <w:rsid w:val="007B23AB"/>
    <w:rsid w:val="007B398C"/>
    <w:rsid w:val="007B3DB6"/>
    <w:rsid w:val="007B4AD2"/>
    <w:rsid w:val="007B4B6E"/>
    <w:rsid w:val="007B4D18"/>
    <w:rsid w:val="007B56AE"/>
    <w:rsid w:val="007B5888"/>
    <w:rsid w:val="007B7459"/>
    <w:rsid w:val="007C046E"/>
    <w:rsid w:val="007C1348"/>
    <w:rsid w:val="007C1D26"/>
    <w:rsid w:val="007C5CA7"/>
    <w:rsid w:val="007C619A"/>
    <w:rsid w:val="007C61E0"/>
    <w:rsid w:val="007C65E9"/>
    <w:rsid w:val="007C678F"/>
    <w:rsid w:val="007D09E7"/>
    <w:rsid w:val="007D2674"/>
    <w:rsid w:val="007D270B"/>
    <w:rsid w:val="007D35CB"/>
    <w:rsid w:val="007D429B"/>
    <w:rsid w:val="007D53AB"/>
    <w:rsid w:val="007D5714"/>
    <w:rsid w:val="007D57CA"/>
    <w:rsid w:val="007D766A"/>
    <w:rsid w:val="007E1095"/>
    <w:rsid w:val="007E2732"/>
    <w:rsid w:val="007E2D44"/>
    <w:rsid w:val="007E30E7"/>
    <w:rsid w:val="007E3B43"/>
    <w:rsid w:val="007E53F8"/>
    <w:rsid w:val="007E5C97"/>
    <w:rsid w:val="007E607D"/>
    <w:rsid w:val="007E632E"/>
    <w:rsid w:val="007E73D5"/>
    <w:rsid w:val="007F2AED"/>
    <w:rsid w:val="007F3FAB"/>
    <w:rsid w:val="007F49A5"/>
    <w:rsid w:val="007F5E03"/>
    <w:rsid w:val="007F6301"/>
    <w:rsid w:val="007F6A76"/>
    <w:rsid w:val="007F74B4"/>
    <w:rsid w:val="0080131A"/>
    <w:rsid w:val="00802641"/>
    <w:rsid w:val="0080460B"/>
    <w:rsid w:val="00804F3A"/>
    <w:rsid w:val="0080515B"/>
    <w:rsid w:val="00805F12"/>
    <w:rsid w:val="008061C5"/>
    <w:rsid w:val="008069D6"/>
    <w:rsid w:val="0080791C"/>
    <w:rsid w:val="00807FE3"/>
    <w:rsid w:val="00810807"/>
    <w:rsid w:val="00810AB2"/>
    <w:rsid w:val="008135E5"/>
    <w:rsid w:val="00814223"/>
    <w:rsid w:val="0081677B"/>
    <w:rsid w:val="0082194F"/>
    <w:rsid w:val="008219AE"/>
    <w:rsid w:val="00821AA8"/>
    <w:rsid w:val="008222B4"/>
    <w:rsid w:val="00824D89"/>
    <w:rsid w:val="00825172"/>
    <w:rsid w:val="008258E8"/>
    <w:rsid w:val="00826589"/>
    <w:rsid w:val="0082695C"/>
    <w:rsid w:val="008320DD"/>
    <w:rsid w:val="008323A5"/>
    <w:rsid w:val="00832469"/>
    <w:rsid w:val="0083318E"/>
    <w:rsid w:val="008331A9"/>
    <w:rsid w:val="008332BE"/>
    <w:rsid w:val="008340C7"/>
    <w:rsid w:val="008347DB"/>
    <w:rsid w:val="00835880"/>
    <w:rsid w:val="0083606A"/>
    <w:rsid w:val="00840691"/>
    <w:rsid w:val="0084166F"/>
    <w:rsid w:val="00841CC7"/>
    <w:rsid w:val="008438AD"/>
    <w:rsid w:val="00843E4F"/>
    <w:rsid w:val="00844FF0"/>
    <w:rsid w:val="00845962"/>
    <w:rsid w:val="00846876"/>
    <w:rsid w:val="00846B3C"/>
    <w:rsid w:val="008472B8"/>
    <w:rsid w:val="008474D9"/>
    <w:rsid w:val="008519D8"/>
    <w:rsid w:val="00852E65"/>
    <w:rsid w:val="008530A6"/>
    <w:rsid w:val="0085426E"/>
    <w:rsid w:val="0085477E"/>
    <w:rsid w:val="0085555E"/>
    <w:rsid w:val="008565B1"/>
    <w:rsid w:val="0085756E"/>
    <w:rsid w:val="00857A0F"/>
    <w:rsid w:val="00857BCA"/>
    <w:rsid w:val="008600DF"/>
    <w:rsid w:val="00862F0E"/>
    <w:rsid w:val="00865A1B"/>
    <w:rsid w:val="00865EEF"/>
    <w:rsid w:val="0086753D"/>
    <w:rsid w:val="00871DF5"/>
    <w:rsid w:val="008720DB"/>
    <w:rsid w:val="00874D3A"/>
    <w:rsid w:val="00875228"/>
    <w:rsid w:val="0087585D"/>
    <w:rsid w:val="00876668"/>
    <w:rsid w:val="008776EF"/>
    <w:rsid w:val="00880451"/>
    <w:rsid w:val="00884DB5"/>
    <w:rsid w:val="008850F7"/>
    <w:rsid w:val="00887156"/>
    <w:rsid w:val="00887E7B"/>
    <w:rsid w:val="0089146A"/>
    <w:rsid w:val="00892917"/>
    <w:rsid w:val="008942B7"/>
    <w:rsid w:val="0089619D"/>
    <w:rsid w:val="00896EA3"/>
    <w:rsid w:val="00896EE7"/>
    <w:rsid w:val="008A0F3F"/>
    <w:rsid w:val="008A2E22"/>
    <w:rsid w:val="008A3010"/>
    <w:rsid w:val="008A39D3"/>
    <w:rsid w:val="008A6349"/>
    <w:rsid w:val="008A68B7"/>
    <w:rsid w:val="008A72F7"/>
    <w:rsid w:val="008B2751"/>
    <w:rsid w:val="008B27AB"/>
    <w:rsid w:val="008B3209"/>
    <w:rsid w:val="008B387E"/>
    <w:rsid w:val="008B5204"/>
    <w:rsid w:val="008B73F1"/>
    <w:rsid w:val="008B787D"/>
    <w:rsid w:val="008C038D"/>
    <w:rsid w:val="008C1C86"/>
    <w:rsid w:val="008C1FD6"/>
    <w:rsid w:val="008C213F"/>
    <w:rsid w:val="008C304A"/>
    <w:rsid w:val="008C40E5"/>
    <w:rsid w:val="008C46C9"/>
    <w:rsid w:val="008C4B67"/>
    <w:rsid w:val="008C634A"/>
    <w:rsid w:val="008C7A1A"/>
    <w:rsid w:val="008C7CFC"/>
    <w:rsid w:val="008C7DD4"/>
    <w:rsid w:val="008D03F7"/>
    <w:rsid w:val="008D0B5D"/>
    <w:rsid w:val="008D1C13"/>
    <w:rsid w:val="008D34BB"/>
    <w:rsid w:val="008D52B1"/>
    <w:rsid w:val="008D5A07"/>
    <w:rsid w:val="008D5FFF"/>
    <w:rsid w:val="008D7424"/>
    <w:rsid w:val="008E0FE5"/>
    <w:rsid w:val="008E1D3F"/>
    <w:rsid w:val="008E25FD"/>
    <w:rsid w:val="008E3A72"/>
    <w:rsid w:val="008E53FB"/>
    <w:rsid w:val="008E541C"/>
    <w:rsid w:val="008E6BB0"/>
    <w:rsid w:val="008E70EF"/>
    <w:rsid w:val="008E7F0A"/>
    <w:rsid w:val="008F21CE"/>
    <w:rsid w:val="008F2FC6"/>
    <w:rsid w:val="008F4CBB"/>
    <w:rsid w:val="008F6310"/>
    <w:rsid w:val="008F7B97"/>
    <w:rsid w:val="008F7F14"/>
    <w:rsid w:val="00900D4C"/>
    <w:rsid w:val="00900DA3"/>
    <w:rsid w:val="00902A3D"/>
    <w:rsid w:val="00903FE4"/>
    <w:rsid w:val="00904484"/>
    <w:rsid w:val="009048C7"/>
    <w:rsid w:val="0090511D"/>
    <w:rsid w:val="009060B4"/>
    <w:rsid w:val="00914943"/>
    <w:rsid w:val="00915719"/>
    <w:rsid w:val="00916592"/>
    <w:rsid w:val="00920A21"/>
    <w:rsid w:val="00920A3F"/>
    <w:rsid w:val="0092283D"/>
    <w:rsid w:val="00922CA7"/>
    <w:rsid w:val="00922DB5"/>
    <w:rsid w:val="00924D46"/>
    <w:rsid w:val="0092562B"/>
    <w:rsid w:val="00925646"/>
    <w:rsid w:val="00925D7B"/>
    <w:rsid w:val="00925ED3"/>
    <w:rsid w:val="00931154"/>
    <w:rsid w:val="00931AD7"/>
    <w:rsid w:val="00932B38"/>
    <w:rsid w:val="00936FAA"/>
    <w:rsid w:val="009416A7"/>
    <w:rsid w:val="009417BE"/>
    <w:rsid w:val="00942AB3"/>
    <w:rsid w:val="0094327C"/>
    <w:rsid w:val="00943E15"/>
    <w:rsid w:val="009445B1"/>
    <w:rsid w:val="009448AF"/>
    <w:rsid w:val="0094545A"/>
    <w:rsid w:val="00945E9B"/>
    <w:rsid w:val="0094625D"/>
    <w:rsid w:val="00946788"/>
    <w:rsid w:val="009476BC"/>
    <w:rsid w:val="009507E5"/>
    <w:rsid w:val="00951B97"/>
    <w:rsid w:val="0095254F"/>
    <w:rsid w:val="00952A2B"/>
    <w:rsid w:val="00956634"/>
    <w:rsid w:val="0095669E"/>
    <w:rsid w:val="00956957"/>
    <w:rsid w:val="009603C1"/>
    <w:rsid w:val="009614ED"/>
    <w:rsid w:val="00961D57"/>
    <w:rsid w:val="00962553"/>
    <w:rsid w:val="009634EF"/>
    <w:rsid w:val="00964DC3"/>
    <w:rsid w:val="0096581B"/>
    <w:rsid w:val="00965DC8"/>
    <w:rsid w:val="009669BC"/>
    <w:rsid w:val="00966D7A"/>
    <w:rsid w:val="0096779E"/>
    <w:rsid w:val="0097025C"/>
    <w:rsid w:val="0097157D"/>
    <w:rsid w:val="009742E1"/>
    <w:rsid w:val="009747D4"/>
    <w:rsid w:val="0097598D"/>
    <w:rsid w:val="00976021"/>
    <w:rsid w:val="00976697"/>
    <w:rsid w:val="009827D8"/>
    <w:rsid w:val="009828E1"/>
    <w:rsid w:val="00986104"/>
    <w:rsid w:val="0098694A"/>
    <w:rsid w:val="009877EF"/>
    <w:rsid w:val="009879E8"/>
    <w:rsid w:val="00990961"/>
    <w:rsid w:val="00991431"/>
    <w:rsid w:val="00991F3B"/>
    <w:rsid w:val="0099255B"/>
    <w:rsid w:val="00993FBF"/>
    <w:rsid w:val="00995547"/>
    <w:rsid w:val="00995F59"/>
    <w:rsid w:val="009966F6"/>
    <w:rsid w:val="00996C7D"/>
    <w:rsid w:val="00996F33"/>
    <w:rsid w:val="009978D7"/>
    <w:rsid w:val="009A0F02"/>
    <w:rsid w:val="009A1911"/>
    <w:rsid w:val="009A1BAF"/>
    <w:rsid w:val="009A43F7"/>
    <w:rsid w:val="009A47F4"/>
    <w:rsid w:val="009A4D06"/>
    <w:rsid w:val="009A5084"/>
    <w:rsid w:val="009A5136"/>
    <w:rsid w:val="009A7364"/>
    <w:rsid w:val="009A7974"/>
    <w:rsid w:val="009A7F56"/>
    <w:rsid w:val="009B0AD7"/>
    <w:rsid w:val="009B312D"/>
    <w:rsid w:val="009B4259"/>
    <w:rsid w:val="009B465D"/>
    <w:rsid w:val="009B5260"/>
    <w:rsid w:val="009B600D"/>
    <w:rsid w:val="009B626D"/>
    <w:rsid w:val="009B72E4"/>
    <w:rsid w:val="009B7AF0"/>
    <w:rsid w:val="009C0236"/>
    <w:rsid w:val="009C12DE"/>
    <w:rsid w:val="009C39B3"/>
    <w:rsid w:val="009C3E25"/>
    <w:rsid w:val="009C57F6"/>
    <w:rsid w:val="009C661E"/>
    <w:rsid w:val="009C7136"/>
    <w:rsid w:val="009C7237"/>
    <w:rsid w:val="009C74D3"/>
    <w:rsid w:val="009C7514"/>
    <w:rsid w:val="009D020F"/>
    <w:rsid w:val="009D2567"/>
    <w:rsid w:val="009D3D40"/>
    <w:rsid w:val="009D48CD"/>
    <w:rsid w:val="009D57A4"/>
    <w:rsid w:val="009D72A3"/>
    <w:rsid w:val="009D7851"/>
    <w:rsid w:val="009E2558"/>
    <w:rsid w:val="009E2D15"/>
    <w:rsid w:val="009E39CB"/>
    <w:rsid w:val="009E5629"/>
    <w:rsid w:val="009E5E0A"/>
    <w:rsid w:val="009E614F"/>
    <w:rsid w:val="009E6333"/>
    <w:rsid w:val="009E7675"/>
    <w:rsid w:val="009E7972"/>
    <w:rsid w:val="009F0D3E"/>
    <w:rsid w:val="009F2825"/>
    <w:rsid w:val="009F384C"/>
    <w:rsid w:val="009F4233"/>
    <w:rsid w:val="009F649F"/>
    <w:rsid w:val="009F66C4"/>
    <w:rsid w:val="009F7A1C"/>
    <w:rsid w:val="00A005A7"/>
    <w:rsid w:val="00A00682"/>
    <w:rsid w:val="00A006C3"/>
    <w:rsid w:val="00A00C32"/>
    <w:rsid w:val="00A00DF9"/>
    <w:rsid w:val="00A011A4"/>
    <w:rsid w:val="00A011F1"/>
    <w:rsid w:val="00A01CF2"/>
    <w:rsid w:val="00A02050"/>
    <w:rsid w:val="00A04363"/>
    <w:rsid w:val="00A04F2D"/>
    <w:rsid w:val="00A05E98"/>
    <w:rsid w:val="00A05EE2"/>
    <w:rsid w:val="00A060A6"/>
    <w:rsid w:val="00A07028"/>
    <w:rsid w:val="00A11472"/>
    <w:rsid w:val="00A1294F"/>
    <w:rsid w:val="00A12F68"/>
    <w:rsid w:val="00A152BF"/>
    <w:rsid w:val="00A1545F"/>
    <w:rsid w:val="00A15CC1"/>
    <w:rsid w:val="00A15F4C"/>
    <w:rsid w:val="00A171FE"/>
    <w:rsid w:val="00A175A1"/>
    <w:rsid w:val="00A179CD"/>
    <w:rsid w:val="00A179F7"/>
    <w:rsid w:val="00A17A05"/>
    <w:rsid w:val="00A200C6"/>
    <w:rsid w:val="00A21815"/>
    <w:rsid w:val="00A21A4D"/>
    <w:rsid w:val="00A232C0"/>
    <w:rsid w:val="00A23468"/>
    <w:rsid w:val="00A23B23"/>
    <w:rsid w:val="00A24E61"/>
    <w:rsid w:val="00A24E66"/>
    <w:rsid w:val="00A27F35"/>
    <w:rsid w:val="00A27FE9"/>
    <w:rsid w:val="00A3033E"/>
    <w:rsid w:val="00A31E7A"/>
    <w:rsid w:val="00A33662"/>
    <w:rsid w:val="00A3475E"/>
    <w:rsid w:val="00A347C1"/>
    <w:rsid w:val="00A34C52"/>
    <w:rsid w:val="00A35214"/>
    <w:rsid w:val="00A35EE3"/>
    <w:rsid w:val="00A366C5"/>
    <w:rsid w:val="00A36999"/>
    <w:rsid w:val="00A37E3C"/>
    <w:rsid w:val="00A37EBC"/>
    <w:rsid w:val="00A40624"/>
    <w:rsid w:val="00A43AE0"/>
    <w:rsid w:val="00A43C14"/>
    <w:rsid w:val="00A44768"/>
    <w:rsid w:val="00A44974"/>
    <w:rsid w:val="00A44A17"/>
    <w:rsid w:val="00A45916"/>
    <w:rsid w:val="00A50049"/>
    <w:rsid w:val="00A502A3"/>
    <w:rsid w:val="00A50C06"/>
    <w:rsid w:val="00A513BD"/>
    <w:rsid w:val="00A51528"/>
    <w:rsid w:val="00A5282D"/>
    <w:rsid w:val="00A53679"/>
    <w:rsid w:val="00A54486"/>
    <w:rsid w:val="00A544B5"/>
    <w:rsid w:val="00A549F7"/>
    <w:rsid w:val="00A561BA"/>
    <w:rsid w:val="00A5702D"/>
    <w:rsid w:val="00A576E2"/>
    <w:rsid w:val="00A5786C"/>
    <w:rsid w:val="00A57A4A"/>
    <w:rsid w:val="00A612B3"/>
    <w:rsid w:val="00A63018"/>
    <w:rsid w:val="00A634F6"/>
    <w:rsid w:val="00A637E4"/>
    <w:rsid w:val="00A640EF"/>
    <w:rsid w:val="00A64DFD"/>
    <w:rsid w:val="00A65647"/>
    <w:rsid w:val="00A6574F"/>
    <w:rsid w:val="00A67807"/>
    <w:rsid w:val="00A67BD0"/>
    <w:rsid w:val="00A70A1E"/>
    <w:rsid w:val="00A71528"/>
    <w:rsid w:val="00A71F02"/>
    <w:rsid w:val="00A72CAE"/>
    <w:rsid w:val="00A73746"/>
    <w:rsid w:val="00A737B9"/>
    <w:rsid w:val="00A73AAF"/>
    <w:rsid w:val="00A7480A"/>
    <w:rsid w:val="00A74A6A"/>
    <w:rsid w:val="00A7560F"/>
    <w:rsid w:val="00A75C62"/>
    <w:rsid w:val="00A77AFF"/>
    <w:rsid w:val="00A82266"/>
    <w:rsid w:val="00A84D00"/>
    <w:rsid w:val="00A84F2B"/>
    <w:rsid w:val="00A85496"/>
    <w:rsid w:val="00A871B9"/>
    <w:rsid w:val="00A9219A"/>
    <w:rsid w:val="00A95B06"/>
    <w:rsid w:val="00A965B8"/>
    <w:rsid w:val="00A96890"/>
    <w:rsid w:val="00A969C8"/>
    <w:rsid w:val="00A97B8A"/>
    <w:rsid w:val="00A97E60"/>
    <w:rsid w:val="00A97EBE"/>
    <w:rsid w:val="00A97ED6"/>
    <w:rsid w:val="00AA30CD"/>
    <w:rsid w:val="00AA3290"/>
    <w:rsid w:val="00AA3622"/>
    <w:rsid w:val="00AA386D"/>
    <w:rsid w:val="00AA4623"/>
    <w:rsid w:val="00AA46F1"/>
    <w:rsid w:val="00AA6128"/>
    <w:rsid w:val="00AA6BD5"/>
    <w:rsid w:val="00AA6D1C"/>
    <w:rsid w:val="00AA7111"/>
    <w:rsid w:val="00AB0E3B"/>
    <w:rsid w:val="00AB0F3A"/>
    <w:rsid w:val="00AB15FF"/>
    <w:rsid w:val="00AB2220"/>
    <w:rsid w:val="00AB4C86"/>
    <w:rsid w:val="00AB5493"/>
    <w:rsid w:val="00AB70FE"/>
    <w:rsid w:val="00AC0D75"/>
    <w:rsid w:val="00AC191C"/>
    <w:rsid w:val="00AC2079"/>
    <w:rsid w:val="00AC2446"/>
    <w:rsid w:val="00AC3145"/>
    <w:rsid w:val="00AC3B09"/>
    <w:rsid w:val="00AC43D4"/>
    <w:rsid w:val="00AC4DEE"/>
    <w:rsid w:val="00AC530C"/>
    <w:rsid w:val="00AC55AA"/>
    <w:rsid w:val="00AC709F"/>
    <w:rsid w:val="00AC7520"/>
    <w:rsid w:val="00AC7CEE"/>
    <w:rsid w:val="00AD008B"/>
    <w:rsid w:val="00AD045D"/>
    <w:rsid w:val="00AD0543"/>
    <w:rsid w:val="00AD0DE8"/>
    <w:rsid w:val="00AD172E"/>
    <w:rsid w:val="00AD198A"/>
    <w:rsid w:val="00AD1A80"/>
    <w:rsid w:val="00AD2E94"/>
    <w:rsid w:val="00AD3283"/>
    <w:rsid w:val="00AD4451"/>
    <w:rsid w:val="00AD5532"/>
    <w:rsid w:val="00AD59B9"/>
    <w:rsid w:val="00AD631A"/>
    <w:rsid w:val="00AD64E1"/>
    <w:rsid w:val="00AD715F"/>
    <w:rsid w:val="00AD7DC4"/>
    <w:rsid w:val="00AE018D"/>
    <w:rsid w:val="00AE043B"/>
    <w:rsid w:val="00AE0516"/>
    <w:rsid w:val="00AE0B66"/>
    <w:rsid w:val="00AE342B"/>
    <w:rsid w:val="00AE351B"/>
    <w:rsid w:val="00AE4796"/>
    <w:rsid w:val="00AE48F0"/>
    <w:rsid w:val="00AE528B"/>
    <w:rsid w:val="00AE5E48"/>
    <w:rsid w:val="00AE646C"/>
    <w:rsid w:val="00AE715A"/>
    <w:rsid w:val="00AE7528"/>
    <w:rsid w:val="00AF0B20"/>
    <w:rsid w:val="00AF1FD0"/>
    <w:rsid w:val="00AF3D8A"/>
    <w:rsid w:val="00AF4747"/>
    <w:rsid w:val="00AF4F20"/>
    <w:rsid w:val="00AF58DA"/>
    <w:rsid w:val="00AF59AD"/>
    <w:rsid w:val="00AF656B"/>
    <w:rsid w:val="00AF6C62"/>
    <w:rsid w:val="00B00A2E"/>
    <w:rsid w:val="00B00AB1"/>
    <w:rsid w:val="00B01E10"/>
    <w:rsid w:val="00B067E0"/>
    <w:rsid w:val="00B06C0C"/>
    <w:rsid w:val="00B0717C"/>
    <w:rsid w:val="00B07670"/>
    <w:rsid w:val="00B10ADB"/>
    <w:rsid w:val="00B125AE"/>
    <w:rsid w:val="00B13259"/>
    <w:rsid w:val="00B15068"/>
    <w:rsid w:val="00B1524B"/>
    <w:rsid w:val="00B159F3"/>
    <w:rsid w:val="00B160B2"/>
    <w:rsid w:val="00B166DB"/>
    <w:rsid w:val="00B16996"/>
    <w:rsid w:val="00B17418"/>
    <w:rsid w:val="00B20AA0"/>
    <w:rsid w:val="00B21379"/>
    <w:rsid w:val="00B2139A"/>
    <w:rsid w:val="00B213D0"/>
    <w:rsid w:val="00B21BE7"/>
    <w:rsid w:val="00B22D66"/>
    <w:rsid w:val="00B23A33"/>
    <w:rsid w:val="00B2691F"/>
    <w:rsid w:val="00B27825"/>
    <w:rsid w:val="00B27BAE"/>
    <w:rsid w:val="00B30E9D"/>
    <w:rsid w:val="00B33479"/>
    <w:rsid w:val="00B3454E"/>
    <w:rsid w:val="00B34F11"/>
    <w:rsid w:val="00B355F1"/>
    <w:rsid w:val="00B357C1"/>
    <w:rsid w:val="00B362DE"/>
    <w:rsid w:val="00B368EE"/>
    <w:rsid w:val="00B36F7C"/>
    <w:rsid w:val="00B37054"/>
    <w:rsid w:val="00B37886"/>
    <w:rsid w:val="00B416A2"/>
    <w:rsid w:val="00B41C0B"/>
    <w:rsid w:val="00B433AA"/>
    <w:rsid w:val="00B43FFE"/>
    <w:rsid w:val="00B46406"/>
    <w:rsid w:val="00B475A8"/>
    <w:rsid w:val="00B47700"/>
    <w:rsid w:val="00B47B02"/>
    <w:rsid w:val="00B50790"/>
    <w:rsid w:val="00B52783"/>
    <w:rsid w:val="00B52860"/>
    <w:rsid w:val="00B546B0"/>
    <w:rsid w:val="00B55B88"/>
    <w:rsid w:val="00B55F7E"/>
    <w:rsid w:val="00B56795"/>
    <w:rsid w:val="00B57094"/>
    <w:rsid w:val="00B60596"/>
    <w:rsid w:val="00B605A9"/>
    <w:rsid w:val="00B6080A"/>
    <w:rsid w:val="00B60CCB"/>
    <w:rsid w:val="00B621AB"/>
    <w:rsid w:val="00B62964"/>
    <w:rsid w:val="00B63F73"/>
    <w:rsid w:val="00B65A74"/>
    <w:rsid w:val="00B67074"/>
    <w:rsid w:val="00B71480"/>
    <w:rsid w:val="00B71CBA"/>
    <w:rsid w:val="00B730F5"/>
    <w:rsid w:val="00B74BD6"/>
    <w:rsid w:val="00B76A41"/>
    <w:rsid w:val="00B76A90"/>
    <w:rsid w:val="00B76FE8"/>
    <w:rsid w:val="00B821B9"/>
    <w:rsid w:val="00B83EBB"/>
    <w:rsid w:val="00B846BF"/>
    <w:rsid w:val="00B848E4"/>
    <w:rsid w:val="00B858BD"/>
    <w:rsid w:val="00B86439"/>
    <w:rsid w:val="00B904C3"/>
    <w:rsid w:val="00B91CE4"/>
    <w:rsid w:val="00B93910"/>
    <w:rsid w:val="00B949E6"/>
    <w:rsid w:val="00B95A40"/>
    <w:rsid w:val="00B97889"/>
    <w:rsid w:val="00BA2D5E"/>
    <w:rsid w:val="00BA3684"/>
    <w:rsid w:val="00BA3F6C"/>
    <w:rsid w:val="00BA3FF2"/>
    <w:rsid w:val="00BA534D"/>
    <w:rsid w:val="00BA5BC1"/>
    <w:rsid w:val="00BA6862"/>
    <w:rsid w:val="00BA7B29"/>
    <w:rsid w:val="00BB10DD"/>
    <w:rsid w:val="00BB1A24"/>
    <w:rsid w:val="00BB1AAA"/>
    <w:rsid w:val="00BB2612"/>
    <w:rsid w:val="00BB3425"/>
    <w:rsid w:val="00BB3A5B"/>
    <w:rsid w:val="00BB4BBB"/>
    <w:rsid w:val="00BB5CE4"/>
    <w:rsid w:val="00BB6133"/>
    <w:rsid w:val="00BB62D1"/>
    <w:rsid w:val="00BB69FC"/>
    <w:rsid w:val="00BB72B6"/>
    <w:rsid w:val="00BB747B"/>
    <w:rsid w:val="00BB78F2"/>
    <w:rsid w:val="00BC00C0"/>
    <w:rsid w:val="00BC0D82"/>
    <w:rsid w:val="00BC1945"/>
    <w:rsid w:val="00BC1DF6"/>
    <w:rsid w:val="00BC29E7"/>
    <w:rsid w:val="00BC3B33"/>
    <w:rsid w:val="00BC40CD"/>
    <w:rsid w:val="00BC5D6F"/>
    <w:rsid w:val="00BC6022"/>
    <w:rsid w:val="00BC658C"/>
    <w:rsid w:val="00BC67B6"/>
    <w:rsid w:val="00BC7210"/>
    <w:rsid w:val="00BD040D"/>
    <w:rsid w:val="00BD0C6C"/>
    <w:rsid w:val="00BD0D68"/>
    <w:rsid w:val="00BD0EF5"/>
    <w:rsid w:val="00BD12FE"/>
    <w:rsid w:val="00BD17B0"/>
    <w:rsid w:val="00BD181D"/>
    <w:rsid w:val="00BD2560"/>
    <w:rsid w:val="00BD273F"/>
    <w:rsid w:val="00BD2F30"/>
    <w:rsid w:val="00BD300B"/>
    <w:rsid w:val="00BD509E"/>
    <w:rsid w:val="00BD576A"/>
    <w:rsid w:val="00BD65A1"/>
    <w:rsid w:val="00BD6FB7"/>
    <w:rsid w:val="00BD785B"/>
    <w:rsid w:val="00BE0532"/>
    <w:rsid w:val="00BE154C"/>
    <w:rsid w:val="00BE18E2"/>
    <w:rsid w:val="00BE1D9E"/>
    <w:rsid w:val="00BE25EE"/>
    <w:rsid w:val="00BE35B2"/>
    <w:rsid w:val="00BE377A"/>
    <w:rsid w:val="00BE4038"/>
    <w:rsid w:val="00BE4C8C"/>
    <w:rsid w:val="00BE6D2A"/>
    <w:rsid w:val="00BF25A0"/>
    <w:rsid w:val="00BF2F5C"/>
    <w:rsid w:val="00BF383E"/>
    <w:rsid w:val="00BF398D"/>
    <w:rsid w:val="00BF5430"/>
    <w:rsid w:val="00BF5F2C"/>
    <w:rsid w:val="00BF6486"/>
    <w:rsid w:val="00BF700F"/>
    <w:rsid w:val="00BF7019"/>
    <w:rsid w:val="00BF7190"/>
    <w:rsid w:val="00BF7444"/>
    <w:rsid w:val="00C005C2"/>
    <w:rsid w:val="00C0155E"/>
    <w:rsid w:val="00C016BE"/>
    <w:rsid w:val="00C02B76"/>
    <w:rsid w:val="00C02FD2"/>
    <w:rsid w:val="00C03997"/>
    <w:rsid w:val="00C04062"/>
    <w:rsid w:val="00C04741"/>
    <w:rsid w:val="00C05A1F"/>
    <w:rsid w:val="00C05C11"/>
    <w:rsid w:val="00C05DC9"/>
    <w:rsid w:val="00C1051E"/>
    <w:rsid w:val="00C105FC"/>
    <w:rsid w:val="00C115E0"/>
    <w:rsid w:val="00C11B94"/>
    <w:rsid w:val="00C11FA3"/>
    <w:rsid w:val="00C12B12"/>
    <w:rsid w:val="00C12BC6"/>
    <w:rsid w:val="00C12C01"/>
    <w:rsid w:val="00C1497E"/>
    <w:rsid w:val="00C14B2C"/>
    <w:rsid w:val="00C15BD8"/>
    <w:rsid w:val="00C16C57"/>
    <w:rsid w:val="00C17C56"/>
    <w:rsid w:val="00C20F37"/>
    <w:rsid w:val="00C21491"/>
    <w:rsid w:val="00C21E4B"/>
    <w:rsid w:val="00C22645"/>
    <w:rsid w:val="00C2287A"/>
    <w:rsid w:val="00C22A4F"/>
    <w:rsid w:val="00C22C26"/>
    <w:rsid w:val="00C230A4"/>
    <w:rsid w:val="00C23619"/>
    <w:rsid w:val="00C23980"/>
    <w:rsid w:val="00C23FCA"/>
    <w:rsid w:val="00C2446C"/>
    <w:rsid w:val="00C24B2D"/>
    <w:rsid w:val="00C2620F"/>
    <w:rsid w:val="00C272EF"/>
    <w:rsid w:val="00C27998"/>
    <w:rsid w:val="00C30F0E"/>
    <w:rsid w:val="00C318C6"/>
    <w:rsid w:val="00C31AAC"/>
    <w:rsid w:val="00C33EEC"/>
    <w:rsid w:val="00C3493D"/>
    <w:rsid w:val="00C349BA"/>
    <w:rsid w:val="00C3524F"/>
    <w:rsid w:val="00C367EF"/>
    <w:rsid w:val="00C36DBB"/>
    <w:rsid w:val="00C3725F"/>
    <w:rsid w:val="00C3747A"/>
    <w:rsid w:val="00C40A5D"/>
    <w:rsid w:val="00C40FFE"/>
    <w:rsid w:val="00C41616"/>
    <w:rsid w:val="00C420A0"/>
    <w:rsid w:val="00C427DA"/>
    <w:rsid w:val="00C4520C"/>
    <w:rsid w:val="00C458D4"/>
    <w:rsid w:val="00C468C9"/>
    <w:rsid w:val="00C47160"/>
    <w:rsid w:val="00C508B1"/>
    <w:rsid w:val="00C5136E"/>
    <w:rsid w:val="00C519DD"/>
    <w:rsid w:val="00C51A87"/>
    <w:rsid w:val="00C51C04"/>
    <w:rsid w:val="00C52200"/>
    <w:rsid w:val="00C52CFC"/>
    <w:rsid w:val="00C535DA"/>
    <w:rsid w:val="00C537DF"/>
    <w:rsid w:val="00C5385A"/>
    <w:rsid w:val="00C53BEE"/>
    <w:rsid w:val="00C544FC"/>
    <w:rsid w:val="00C54940"/>
    <w:rsid w:val="00C56A9C"/>
    <w:rsid w:val="00C56EF6"/>
    <w:rsid w:val="00C57E9D"/>
    <w:rsid w:val="00C608F0"/>
    <w:rsid w:val="00C62787"/>
    <w:rsid w:val="00C631F3"/>
    <w:rsid w:val="00C6545A"/>
    <w:rsid w:val="00C65E87"/>
    <w:rsid w:val="00C66CCC"/>
    <w:rsid w:val="00C66D01"/>
    <w:rsid w:val="00C66FA9"/>
    <w:rsid w:val="00C67F40"/>
    <w:rsid w:val="00C67F9C"/>
    <w:rsid w:val="00C70364"/>
    <w:rsid w:val="00C70D79"/>
    <w:rsid w:val="00C71128"/>
    <w:rsid w:val="00C71A09"/>
    <w:rsid w:val="00C728BE"/>
    <w:rsid w:val="00C735F8"/>
    <w:rsid w:val="00C73E6C"/>
    <w:rsid w:val="00C749E2"/>
    <w:rsid w:val="00C755A2"/>
    <w:rsid w:val="00C805A5"/>
    <w:rsid w:val="00C82D30"/>
    <w:rsid w:val="00C83ED0"/>
    <w:rsid w:val="00C84A59"/>
    <w:rsid w:val="00C85BC0"/>
    <w:rsid w:val="00C91252"/>
    <w:rsid w:val="00C946CF"/>
    <w:rsid w:val="00C94E6E"/>
    <w:rsid w:val="00C9517D"/>
    <w:rsid w:val="00C958DE"/>
    <w:rsid w:val="00C96B9D"/>
    <w:rsid w:val="00C96C7E"/>
    <w:rsid w:val="00C97836"/>
    <w:rsid w:val="00C97C09"/>
    <w:rsid w:val="00C97E44"/>
    <w:rsid w:val="00CA047B"/>
    <w:rsid w:val="00CA05D3"/>
    <w:rsid w:val="00CA22F1"/>
    <w:rsid w:val="00CA3329"/>
    <w:rsid w:val="00CA38D5"/>
    <w:rsid w:val="00CA45E1"/>
    <w:rsid w:val="00CA528C"/>
    <w:rsid w:val="00CA56A1"/>
    <w:rsid w:val="00CA5719"/>
    <w:rsid w:val="00CA6573"/>
    <w:rsid w:val="00CA6605"/>
    <w:rsid w:val="00CA72AB"/>
    <w:rsid w:val="00CB07D4"/>
    <w:rsid w:val="00CB116E"/>
    <w:rsid w:val="00CB2451"/>
    <w:rsid w:val="00CB2E9E"/>
    <w:rsid w:val="00CB4BB6"/>
    <w:rsid w:val="00CB604E"/>
    <w:rsid w:val="00CB615C"/>
    <w:rsid w:val="00CB64BC"/>
    <w:rsid w:val="00CB6675"/>
    <w:rsid w:val="00CB6A7A"/>
    <w:rsid w:val="00CB6AE6"/>
    <w:rsid w:val="00CB6B79"/>
    <w:rsid w:val="00CB71C6"/>
    <w:rsid w:val="00CB7678"/>
    <w:rsid w:val="00CC0B10"/>
    <w:rsid w:val="00CC17BE"/>
    <w:rsid w:val="00CC2198"/>
    <w:rsid w:val="00CC44C9"/>
    <w:rsid w:val="00CC46BF"/>
    <w:rsid w:val="00CC696A"/>
    <w:rsid w:val="00CC6A6E"/>
    <w:rsid w:val="00CD071A"/>
    <w:rsid w:val="00CD37D1"/>
    <w:rsid w:val="00CD3CE8"/>
    <w:rsid w:val="00CD43CC"/>
    <w:rsid w:val="00CD50A1"/>
    <w:rsid w:val="00CD715B"/>
    <w:rsid w:val="00CE0C7B"/>
    <w:rsid w:val="00CE1977"/>
    <w:rsid w:val="00CE3991"/>
    <w:rsid w:val="00CE668A"/>
    <w:rsid w:val="00CE6D5D"/>
    <w:rsid w:val="00CE7CB4"/>
    <w:rsid w:val="00CF0025"/>
    <w:rsid w:val="00CF0328"/>
    <w:rsid w:val="00CF0D55"/>
    <w:rsid w:val="00CF1CF3"/>
    <w:rsid w:val="00CF1DF9"/>
    <w:rsid w:val="00CF2F91"/>
    <w:rsid w:val="00CF3A98"/>
    <w:rsid w:val="00CF45EC"/>
    <w:rsid w:val="00CF4E4B"/>
    <w:rsid w:val="00CF6A87"/>
    <w:rsid w:val="00CF6C71"/>
    <w:rsid w:val="00D0071A"/>
    <w:rsid w:val="00D00BA1"/>
    <w:rsid w:val="00D01D75"/>
    <w:rsid w:val="00D01D96"/>
    <w:rsid w:val="00D01DB9"/>
    <w:rsid w:val="00D02252"/>
    <w:rsid w:val="00D02C50"/>
    <w:rsid w:val="00D02E5F"/>
    <w:rsid w:val="00D041B3"/>
    <w:rsid w:val="00D04795"/>
    <w:rsid w:val="00D0520A"/>
    <w:rsid w:val="00D0609C"/>
    <w:rsid w:val="00D06C5C"/>
    <w:rsid w:val="00D06F74"/>
    <w:rsid w:val="00D113AA"/>
    <w:rsid w:val="00D11DBE"/>
    <w:rsid w:val="00D12043"/>
    <w:rsid w:val="00D14367"/>
    <w:rsid w:val="00D15949"/>
    <w:rsid w:val="00D16A72"/>
    <w:rsid w:val="00D20C9A"/>
    <w:rsid w:val="00D21472"/>
    <w:rsid w:val="00D21C7E"/>
    <w:rsid w:val="00D21FE9"/>
    <w:rsid w:val="00D2268B"/>
    <w:rsid w:val="00D22810"/>
    <w:rsid w:val="00D23186"/>
    <w:rsid w:val="00D237D9"/>
    <w:rsid w:val="00D23B65"/>
    <w:rsid w:val="00D24FC8"/>
    <w:rsid w:val="00D250D3"/>
    <w:rsid w:val="00D25DAE"/>
    <w:rsid w:val="00D26544"/>
    <w:rsid w:val="00D30CAE"/>
    <w:rsid w:val="00D31582"/>
    <w:rsid w:val="00D316FE"/>
    <w:rsid w:val="00D3195D"/>
    <w:rsid w:val="00D32291"/>
    <w:rsid w:val="00D32C6E"/>
    <w:rsid w:val="00D32D16"/>
    <w:rsid w:val="00D347B2"/>
    <w:rsid w:val="00D36D10"/>
    <w:rsid w:val="00D370EA"/>
    <w:rsid w:val="00D372CE"/>
    <w:rsid w:val="00D37D01"/>
    <w:rsid w:val="00D40414"/>
    <w:rsid w:val="00D404AE"/>
    <w:rsid w:val="00D4080C"/>
    <w:rsid w:val="00D40DE5"/>
    <w:rsid w:val="00D41936"/>
    <w:rsid w:val="00D419A9"/>
    <w:rsid w:val="00D41F16"/>
    <w:rsid w:val="00D41FDA"/>
    <w:rsid w:val="00D43D8D"/>
    <w:rsid w:val="00D447AB"/>
    <w:rsid w:val="00D456ED"/>
    <w:rsid w:val="00D46AD3"/>
    <w:rsid w:val="00D46AF1"/>
    <w:rsid w:val="00D507E5"/>
    <w:rsid w:val="00D51207"/>
    <w:rsid w:val="00D52156"/>
    <w:rsid w:val="00D55852"/>
    <w:rsid w:val="00D55DFD"/>
    <w:rsid w:val="00D56B2A"/>
    <w:rsid w:val="00D56ED6"/>
    <w:rsid w:val="00D57475"/>
    <w:rsid w:val="00D61B7F"/>
    <w:rsid w:val="00D61CD9"/>
    <w:rsid w:val="00D62282"/>
    <w:rsid w:val="00D63649"/>
    <w:rsid w:val="00D63D55"/>
    <w:rsid w:val="00D643CF"/>
    <w:rsid w:val="00D65353"/>
    <w:rsid w:val="00D659BE"/>
    <w:rsid w:val="00D711A4"/>
    <w:rsid w:val="00D714A0"/>
    <w:rsid w:val="00D7189F"/>
    <w:rsid w:val="00D727AD"/>
    <w:rsid w:val="00D72DC9"/>
    <w:rsid w:val="00D74E91"/>
    <w:rsid w:val="00D75988"/>
    <w:rsid w:val="00D76749"/>
    <w:rsid w:val="00D8055B"/>
    <w:rsid w:val="00D81ADE"/>
    <w:rsid w:val="00D8251E"/>
    <w:rsid w:val="00D82C9A"/>
    <w:rsid w:val="00D83079"/>
    <w:rsid w:val="00D83107"/>
    <w:rsid w:val="00D83D2D"/>
    <w:rsid w:val="00D84D45"/>
    <w:rsid w:val="00D8568B"/>
    <w:rsid w:val="00D859F1"/>
    <w:rsid w:val="00D869C9"/>
    <w:rsid w:val="00D86D7D"/>
    <w:rsid w:val="00D87C6F"/>
    <w:rsid w:val="00D910AD"/>
    <w:rsid w:val="00D91CB4"/>
    <w:rsid w:val="00D91E12"/>
    <w:rsid w:val="00D92321"/>
    <w:rsid w:val="00D924C7"/>
    <w:rsid w:val="00D924D5"/>
    <w:rsid w:val="00D92ABE"/>
    <w:rsid w:val="00D93677"/>
    <w:rsid w:val="00D95B37"/>
    <w:rsid w:val="00D96283"/>
    <w:rsid w:val="00D966FD"/>
    <w:rsid w:val="00D97409"/>
    <w:rsid w:val="00DA05C5"/>
    <w:rsid w:val="00DA0C91"/>
    <w:rsid w:val="00DA12AB"/>
    <w:rsid w:val="00DA2BF0"/>
    <w:rsid w:val="00DA39AC"/>
    <w:rsid w:val="00DA4398"/>
    <w:rsid w:val="00DA4C41"/>
    <w:rsid w:val="00DA5096"/>
    <w:rsid w:val="00DA757A"/>
    <w:rsid w:val="00DB08A1"/>
    <w:rsid w:val="00DB0CAC"/>
    <w:rsid w:val="00DB2A0B"/>
    <w:rsid w:val="00DB2B4D"/>
    <w:rsid w:val="00DB2F39"/>
    <w:rsid w:val="00DB3345"/>
    <w:rsid w:val="00DB38C8"/>
    <w:rsid w:val="00DB3D4B"/>
    <w:rsid w:val="00DB42C1"/>
    <w:rsid w:val="00DB54DF"/>
    <w:rsid w:val="00DB5DED"/>
    <w:rsid w:val="00DB6E18"/>
    <w:rsid w:val="00DB7C70"/>
    <w:rsid w:val="00DC00F1"/>
    <w:rsid w:val="00DC1D3B"/>
    <w:rsid w:val="00DC2263"/>
    <w:rsid w:val="00DC232E"/>
    <w:rsid w:val="00DC3F34"/>
    <w:rsid w:val="00DC5B73"/>
    <w:rsid w:val="00DD2779"/>
    <w:rsid w:val="00DD3328"/>
    <w:rsid w:val="00DD652F"/>
    <w:rsid w:val="00DD6A78"/>
    <w:rsid w:val="00DD7CED"/>
    <w:rsid w:val="00DD7D98"/>
    <w:rsid w:val="00DE0830"/>
    <w:rsid w:val="00DE1AAD"/>
    <w:rsid w:val="00DE24EC"/>
    <w:rsid w:val="00DE3518"/>
    <w:rsid w:val="00DE3FE3"/>
    <w:rsid w:val="00DE459C"/>
    <w:rsid w:val="00DE5740"/>
    <w:rsid w:val="00DE6611"/>
    <w:rsid w:val="00DE6C51"/>
    <w:rsid w:val="00DF019B"/>
    <w:rsid w:val="00DF0E1E"/>
    <w:rsid w:val="00DF1CEF"/>
    <w:rsid w:val="00DF2637"/>
    <w:rsid w:val="00DF2C95"/>
    <w:rsid w:val="00DF337E"/>
    <w:rsid w:val="00DF42A8"/>
    <w:rsid w:val="00DF444F"/>
    <w:rsid w:val="00DF4ED6"/>
    <w:rsid w:val="00DF7FE2"/>
    <w:rsid w:val="00E00805"/>
    <w:rsid w:val="00E00B3E"/>
    <w:rsid w:val="00E0119C"/>
    <w:rsid w:val="00E01895"/>
    <w:rsid w:val="00E03A73"/>
    <w:rsid w:val="00E04221"/>
    <w:rsid w:val="00E04BA4"/>
    <w:rsid w:val="00E0502F"/>
    <w:rsid w:val="00E0631C"/>
    <w:rsid w:val="00E06646"/>
    <w:rsid w:val="00E1000C"/>
    <w:rsid w:val="00E10423"/>
    <w:rsid w:val="00E10CA5"/>
    <w:rsid w:val="00E13750"/>
    <w:rsid w:val="00E149CC"/>
    <w:rsid w:val="00E1680A"/>
    <w:rsid w:val="00E16BFF"/>
    <w:rsid w:val="00E16E62"/>
    <w:rsid w:val="00E1755A"/>
    <w:rsid w:val="00E17DA8"/>
    <w:rsid w:val="00E17DE6"/>
    <w:rsid w:val="00E2018D"/>
    <w:rsid w:val="00E2289C"/>
    <w:rsid w:val="00E22D79"/>
    <w:rsid w:val="00E23CD1"/>
    <w:rsid w:val="00E24779"/>
    <w:rsid w:val="00E25B49"/>
    <w:rsid w:val="00E26543"/>
    <w:rsid w:val="00E27C3C"/>
    <w:rsid w:val="00E31517"/>
    <w:rsid w:val="00E31D2E"/>
    <w:rsid w:val="00E33087"/>
    <w:rsid w:val="00E33B43"/>
    <w:rsid w:val="00E33E18"/>
    <w:rsid w:val="00E40AE1"/>
    <w:rsid w:val="00E40AF8"/>
    <w:rsid w:val="00E41783"/>
    <w:rsid w:val="00E42102"/>
    <w:rsid w:val="00E42B27"/>
    <w:rsid w:val="00E43298"/>
    <w:rsid w:val="00E432EF"/>
    <w:rsid w:val="00E43832"/>
    <w:rsid w:val="00E43943"/>
    <w:rsid w:val="00E43C3C"/>
    <w:rsid w:val="00E445AD"/>
    <w:rsid w:val="00E44D04"/>
    <w:rsid w:val="00E45193"/>
    <w:rsid w:val="00E45E7C"/>
    <w:rsid w:val="00E46134"/>
    <w:rsid w:val="00E4623F"/>
    <w:rsid w:val="00E46B49"/>
    <w:rsid w:val="00E47CAA"/>
    <w:rsid w:val="00E50590"/>
    <w:rsid w:val="00E51A20"/>
    <w:rsid w:val="00E5540E"/>
    <w:rsid w:val="00E56988"/>
    <w:rsid w:val="00E56B7A"/>
    <w:rsid w:val="00E57074"/>
    <w:rsid w:val="00E57B92"/>
    <w:rsid w:val="00E60FD4"/>
    <w:rsid w:val="00E6214F"/>
    <w:rsid w:val="00E62563"/>
    <w:rsid w:val="00E63E0F"/>
    <w:rsid w:val="00E6432E"/>
    <w:rsid w:val="00E6438A"/>
    <w:rsid w:val="00E65517"/>
    <w:rsid w:val="00E709F4"/>
    <w:rsid w:val="00E720C0"/>
    <w:rsid w:val="00E73A52"/>
    <w:rsid w:val="00E74304"/>
    <w:rsid w:val="00E75FE1"/>
    <w:rsid w:val="00E7652D"/>
    <w:rsid w:val="00E769D3"/>
    <w:rsid w:val="00E76FDE"/>
    <w:rsid w:val="00E7775B"/>
    <w:rsid w:val="00E8254A"/>
    <w:rsid w:val="00E82C62"/>
    <w:rsid w:val="00E8360D"/>
    <w:rsid w:val="00E84500"/>
    <w:rsid w:val="00E8719E"/>
    <w:rsid w:val="00E879D3"/>
    <w:rsid w:val="00E87FFD"/>
    <w:rsid w:val="00E90300"/>
    <w:rsid w:val="00E90F8A"/>
    <w:rsid w:val="00E9224C"/>
    <w:rsid w:val="00E92823"/>
    <w:rsid w:val="00E92D90"/>
    <w:rsid w:val="00E93D07"/>
    <w:rsid w:val="00E948BE"/>
    <w:rsid w:val="00E95348"/>
    <w:rsid w:val="00E9580E"/>
    <w:rsid w:val="00E96524"/>
    <w:rsid w:val="00EA0679"/>
    <w:rsid w:val="00EA1A7A"/>
    <w:rsid w:val="00EA3841"/>
    <w:rsid w:val="00EA50F4"/>
    <w:rsid w:val="00EA55B0"/>
    <w:rsid w:val="00EA7736"/>
    <w:rsid w:val="00EB0FDD"/>
    <w:rsid w:val="00EB0FF8"/>
    <w:rsid w:val="00EB2D5D"/>
    <w:rsid w:val="00EB318F"/>
    <w:rsid w:val="00EB31C7"/>
    <w:rsid w:val="00EB4AE4"/>
    <w:rsid w:val="00EB4E91"/>
    <w:rsid w:val="00EB719F"/>
    <w:rsid w:val="00EB7F4B"/>
    <w:rsid w:val="00EC2431"/>
    <w:rsid w:val="00EC2607"/>
    <w:rsid w:val="00EC520E"/>
    <w:rsid w:val="00EC6562"/>
    <w:rsid w:val="00EC67ED"/>
    <w:rsid w:val="00EC6DD2"/>
    <w:rsid w:val="00ED07B6"/>
    <w:rsid w:val="00ED0B81"/>
    <w:rsid w:val="00ED0C29"/>
    <w:rsid w:val="00ED0C4E"/>
    <w:rsid w:val="00ED0C92"/>
    <w:rsid w:val="00ED317D"/>
    <w:rsid w:val="00ED3384"/>
    <w:rsid w:val="00ED40F0"/>
    <w:rsid w:val="00ED4110"/>
    <w:rsid w:val="00ED504F"/>
    <w:rsid w:val="00ED63F7"/>
    <w:rsid w:val="00ED6FE8"/>
    <w:rsid w:val="00ED7D3A"/>
    <w:rsid w:val="00EE0707"/>
    <w:rsid w:val="00EE0BF5"/>
    <w:rsid w:val="00EE0C6A"/>
    <w:rsid w:val="00EE130B"/>
    <w:rsid w:val="00EE1C2E"/>
    <w:rsid w:val="00EE3FE1"/>
    <w:rsid w:val="00EE58C9"/>
    <w:rsid w:val="00EE5B16"/>
    <w:rsid w:val="00EE5C19"/>
    <w:rsid w:val="00EE5E67"/>
    <w:rsid w:val="00EE7644"/>
    <w:rsid w:val="00EE79CD"/>
    <w:rsid w:val="00EE7CE1"/>
    <w:rsid w:val="00EF02E5"/>
    <w:rsid w:val="00EF09A4"/>
    <w:rsid w:val="00EF3987"/>
    <w:rsid w:val="00EF4350"/>
    <w:rsid w:val="00EF57D8"/>
    <w:rsid w:val="00EF5F83"/>
    <w:rsid w:val="00EF6192"/>
    <w:rsid w:val="00EF6551"/>
    <w:rsid w:val="00EF6597"/>
    <w:rsid w:val="00EF694C"/>
    <w:rsid w:val="00EF6B4D"/>
    <w:rsid w:val="00EF6D56"/>
    <w:rsid w:val="00EF7C25"/>
    <w:rsid w:val="00F01292"/>
    <w:rsid w:val="00F01D65"/>
    <w:rsid w:val="00F0235A"/>
    <w:rsid w:val="00F025E3"/>
    <w:rsid w:val="00F02A1B"/>
    <w:rsid w:val="00F02F75"/>
    <w:rsid w:val="00F03198"/>
    <w:rsid w:val="00F04464"/>
    <w:rsid w:val="00F0466C"/>
    <w:rsid w:val="00F05625"/>
    <w:rsid w:val="00F06935"/>
    <w:rsid w:val="00F06DA8"/>
    <w:rsid w:val="00F1244D"/>
    <w:rsid w:val="00F140FA"/>
    <w:rsid w:val="00F14FB0"/>
    <w:rsid w:val="00F1626A"/>
    <w:rsid w:val="00F16A6E"/>
    <w:rsid w:val="00F174CD"/>
    <w:rsid w:val="00F17C41"/>
    <w:rsid w:val="00F204B5"/>
    <w:rsid w:val="00F210F6"/>
    <w:rsid w:val="00F213FC"/>
    <w:rsid w:val="00F23CE1"/>
    <w:rsid w:val="00F248C2"/>
    <w:rsid w:val="00F24BB2"/>
    <w:rsid w:val="00F26E98"/>
    <w:rsid w:val="00F27CB8"/>
    <w:rsid w:val="00F27EC6"/>
    <w:rsid w:val="00F30810"/>
    <w:rsid w:val="00F312CB"/>
    <w:rsid w:val="00F32BD3"/>
    <w:rsid w:val="00F34808"/>
    <w:rsid w:val="00F36C4C"/>
    <w:rsid w:val="00F36F20"/>
    <w:rsid w:val="00F37240"/>
    <w:rsid w:val="00F37A19"/>
    <w:rsid w:val="00F40C60"/>
    <w:rsid w:val="00F40E5A"/>
    <w:rsid w:val="00F41BEB"/>
    <w:rsid w:val="00F4235B"/>
    <w:rsid w:val="00F4278C"/>
    <w:rsid w:val="00F42946"/>
    <w:rsid w:val="00F4587D"/>
    <w:rsid w:val="00F45A45"/>
    <w:rsid w:val="00F471E7"/>
    <w:rsid w:val="00F502CF"/>
    <w:rsid w:val="00F51103"/>
    <w:rsid w:val="00F512D5"/>
    <w:rsid w:val="00F5147A"/>
    <w:rsid w:val="00F528F0"/>
    <w:rsid w:val="00F535F8"/>
    <w:rsid w:val="00F562E8"/>
    <w:rsid w:val="00F57BD6"/>
    <w:rsid w:val="00F60759"/>
    <w:rsid w:val="00F60E1B"/>
    <w:rsid w:val="00F6103A"/>
    <w:rsid w:val="00F62A20"/>
    <w:rsid w:val="00F64083"/>
    <w:rsid w:val="00F642D8"/>
    <w:rsid w:val="00F6542D"/>
    <w:rsid w:val="00F65D18"/>
    <w:rsid w:val="00F67426"/>
    <w:rsid w:val="00F70BC4"/>
    <w:rsid w:val="00F73DC4"/>
    <w:rsid w:val="00F74111"/>
    <w:rsid w:val="00F74A8C"/>
    <w:rsid w:val="00F754E7"/>
    <w:rsid w:val="00F75E31"/>
    <w:rsid w:val="00F7681B"/>
    <w:rsid w:val="00F76BCC"/>
    <w:rsid w:val="00F805F1"/>
    <w:rsid w:val="00F80603"/>
    <w:rsid w:val="00F80E6E"/>
    <w:rsid w:val="00F83AAB"/>
    <w:rsid w:val="00F840C4"/>
    <w:rsid w:val="00F849B8"/>
    <w:rsid w:val="00F85B59"/>
    <w:rsid w:val="00F87B46"/>
    <w:rsid w:val="00F91331"/>
    <w:rsid w:val="00F916A1"/>
    <w:rsid w:val="00F92CAE"/>
    <w:rsid w:val="00F93D9A"/>
    <w:rsid w:val="00F93E86"/>
    <w:rsid w:val="00F948F7"/>
    <w:rsid w:val="00F95182"/>
    <w:rsid w:val="00F952C3"/>
    <w:rsid w:val="00F9553F"/>
    <w:rsid w:val="00F95C49"/>
    <w:rsid w:val="00F95C8A"/>
    <w:rsid w:val="00F95FFA"/>
    <w:rsid w:val="00F96429"/>
    <w:rsid w:val="00F964F8"/>
    <w:rsid w:val="00F96572"/>
    <w:rsid w:val="00F974EA"/>
    <w:rsid w:val="00FA061F"/>
    <w:rsid w:val="00FA2076"/>
    <w:rsid w:val="00FA2B0D"/>
    <w:rsid w:val="00FA2FB3"/>
    <w:rsid w:val="00FA4232"/>
    <w:rsid w:val="00FA50DE"/>
    <w:rsid w:val="00FA5342"/>
    <w:rsid w:val="00FA7248"/>
    <w:rsid w:val="00FA7A0E"/>
    <w:rsid w:val="00FA7DEF"/>
    <w:rsid w:val="00FB0249"/>
    <w:rsid w:val="00FB0428"/>
    <w:rsid w:val="00FB0BD0"/>
    <w:rsid w:val="00FB1751"/>
    <w:rsid w:val="00FB351A"/>
    <w:rsid w:val="00FB4FA1"/>
    <w:rsid w:val="00FB548E"/>
    <w:rsid w:val="00FB748F"/>
    <w:rsid w:val="00FB7A90"/>
    <w:rsid w:val="00FC07B9"/>
    <w:rsid w:val="00FC13FB"/>
    <w:rsid w:val="00FC2C5F"/>
    <w:rsid w:val="00FC3E47"/>
    <w:rsid w:val="00FC40D8"/>
    <w:rsid w:val="00FC4A94"/>
    <w:rsid w:val="00FC531D"/>
    <w:rsid w:val="00FD0231"/>
    <w:rsid w:val="00FD0285"/>
    <w:rsid w:val="00FD0E8D"/>
    <w:rsid w:val="00FD1115"/>
    <w:rsid w:val="00FD20BD"/>
    <w:rsid w:val="00FD243C"/>
    <w:rsid w:val="00FD244F"/>
    <w:rsid w:val="00FD2D67"/>
    <w:rsid w:val="00FD3AFC"/>
    <w:rsid w:val="00FD3BA9"/>
    <w:rsid w:val="00FD44E0"/>
    <w:rsid w:val="00FD5AA6"/>
    <w:rsid w:val="00FD67AF"/>
    <w:rsid w:val="00FD6B8E"/>
    <w:rsid w:val="00FD7495"/>
    <w:rsid w:val="00FD7DA5"/>
    <w:rsid w:val="00FE0253"/>
    <w:rsid w:val="00FE05A5"/>
    <w:rsid w:val="00FE17B3"/>
    <w:rsid w:val="00FE19CC"/>
    <w:rsid w:val="00FE19E9"/>
    <w:rsid w:val="00FE20FF"/>
    <w:rsid w:val="00FE249A"/>
    <w:rsid w:val="00FE307C"/>
    <w:rsid w:val="00FE33DE"/>
    <w:rsid w:val="00FE5141"/>
    <w:rsid w:val="00FE5AE6"/>
    <w:rsid w:val="00FF316B"/>
    <w:rsid w:val="00FF3AF4"/>
    <w:rsid w:val="00FF3EB6"/>
    <w:rsid w:val="00FF503B"/>
    <w:rsid w:val="00FF5089"/>
    <w:rsid w:val="00FF56EC"/>
    <w:rsid w:val="00FF5DD6"/>
    <w:rsid w:val="00FF6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6DB"/>
    <w:rPr>
      <w:lang w:eastAsia="en-US"/>
    </w:rPr>
  </w:style>
  <w:style w:type="paragraph" w:styleId="Heading1">
    <w:name w:val="heading 1"/>
    <w:basedOn w:val="Normal"/>
    <w:next w:val="Normal"/>
    <w:qFormat/>
    <w:rsid w:val="006B7E0A"/>
    <w:pPr>
      <w:keepNext/>
      <w:outlineLvl w:val="0"/>
    </w:pPr>
    <w:rPr>
      <w:b/>
      <w:snapToGrid w:val="0"/>
      <w:color w:val="000000"/>
      <w:sz w:val="22"/>
    </w:rPr>
  </w:style>
  <w:style w:type="paragraph" w:styleId="Heading2">
    <w:name w:val="heading 2"/>
    <w:basedOn w:val="Normal"/>
    <w:next w:val="Normal"/>
    <w:qFormat/>
    <w:rsid w:val="006B7E0A"/>
    <w:pPr>
      <w:keepNext/>
      <w:ind w:left="720"/>
      <w:outlineLvl w:val="1"/>
    </w:pPr>
    <w:rPr>
      <w:sz w:val="24"/>
    </w:rPr>
  </w:style>
  <w:style w:type="paragraph" w:styleId="Heading3">
    <w:name w:val="heading 3"/>
    <w:basedOn w:val="Normal"/>
    <w:next w:val="Normal"/>
    <w:qFormat/>
    <w:rsid w:val="006B7E0A"/>
    <w:pPr>
      <w:keepNext/>
      <w:jc w:val="both"/>
      <w:outlineLvl w:val="2"/>
    </w:pPr>
    <w:rPr>
      <w:b/>
    </w:rPr>
  </w:style>
  <w:style w:type="paragraph" w:styleId="Heading4">
    <w:name w:val="heading 4"/>
    <w:basedOn w:val="Normal"/>
    <w:next w:val="Normal"/>
    <w:qFormat/>
    <w:rsid w:val="006B7E0A"/>
    <w:pPr>
      <w:keepNext/>
      <w:spacing w:line="360" w:lineRule="auto"/>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7E0A"/>
    <w:pPr>
      <w:jc w:val="both"/>
    </w:pPr>
    <w:rPr>
      <w:snapToGrid w:val="0"/>
      <w:color w:val="000000"/>
      <w:sz w:val="24"/>
    </w:rPr>
  </w:style>
  <w:style w:type="paragraph" w:styleId="Header">
    <w:name w:val="header"/>
    <w:basedOn w:val="Normal"/>
    <w:rsid w:val="006B7E0A"/>
    <w:pPr>
      <w:tabs>
        <w:tab w:val="center" w:pos="4320"/>
        <w:tab w:val="right" w:pos="8640"/>
      </w:tabs>
    </w:pPr>
  </w:style>
  <w:style w:type="paragraph" w:styleId="Footer">
    <w:name w:val="footer"/>
    <w:basedOn w:val="Normal"/>
    <w:rsid w:val="006B7E0A"/>
    <w:pPr>
      <w:tabs>
        <w:tab w:val="center" w:pos="4320"/>
        <w:tab w:val="right" w:pos="8640"/>
      </w:tabs>
    </w:pPr>
  </w:style>
  <w:style w:type="character" w:styleId="PageNumber">
    <w:name w:val="page number"/>
    <w:basedOn w:val="DefaultParagraphFont"/>
    <w:rsid w:val="006B7E0A"/>
  </w:style>
  <w:style w:type="paragraph" w:styleId="BodyTextIndent">
    <w:name w:val="Body Text Indent"/>
    <w:basedOn w:val="Normal"/>
    <w:link w:val="BodyTextIndentChar"/>
    <w:uiPriority w:val="99"/>
    <w:rsid w:val="006B7E0A"/>
    <w:pPr>
      <w:ind w:left="720"/>
      <w:jc w:val="both"/>
    </w:pPr>
    <w:rPr>
      <w:sz w:val="24"/>
    </w:rPr>
  </w:style>
  <w:style w:type="paragraph" w:styleId="BodyTextIndent2">
    <w:name w:val="Body Text Indent 2"/>
    <w:basedOn w:val="Normal"/>
    <w:rsid w:val="006B7E0A"/>
    <w:pPr>
      <w:ind w:left="720"/>
    </w:pPr>
    <w:rPr>
      <w:sz w:val="24"/>
    </w:rPr>
  </w:style>
  <w:style w:type="paragraph" w:styleId="BodyText2">
    <w:name w:val="Body Text 2"/>
    <w:basedOn w:val="Normal"/>
    <w:rsid w:val="006B7E0A"/>
    <w:pPr>
      <w:jc w:val="both"/>
    </w:pPr>
  </w:style>
  <w:style w:type="paragraph" w:styleId="BodyTextIndent3">
    <w:name w:val="Body Text Indent 3"/>
    <w:basedOn w:val="Normal"/>
    <w:rsid w:val="006B7E0A"/>
    <w:pPr>
      <w:ind w:left="720" w:hanging="720"/>
      <w:jc w:val="both"/>
    </w:pPr>
  </w:style>
  <w:style w:type="paragraph" w:styleId="ListParagraph">
    <w:name w:val="List Paragraph"/>
    <w:basedOn w:val="Normal"/>
    <w:qFormat/>
    <w:rsid w:val="002629F9"/>
    <w:pPr>
      <w:ind w:left="720"/>
    </w:pPr>
  </w:style>
  <w:style w:type="paragraph" w:styleId="BalloonText">
    <w:name w:val="Balloon Text"/>
    <w:basedOn w:val="Normal"/>
    <w:semiHidden/>
    <w:rsid w:val="00B83EBB"/>
    <w:rPr>
      <w:rFonts w:ascii="Tahoma" w:hAnsi="Tahoma" w:cs="Tahoma"/>
      <w:sz w:val="16"/>
      <w:szCs w:val="16"/>
    </w:rPr>
  </w:style>
  <w:style w:type="table" w:styleId="TableGrid">
    <w:name w:val="Table Grid"/>
    <w:basedOn w:val="TableNormal"/>
    <w:rsid w:val="0019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ED0C92"/>
    <w:rPr>
      <w:snapToGrid w:val="0"/>
      <w:color w:val="000000"/>
      <w:sz w:val="24"/>
    </w:rPr>
  </w:style>
  <w:style w:type="paragraph" w:customStyle="1" w:styleId="listparagraph0">
    <w:name w:val="listparagraph"/>
    <w:basedOn w:val="Normal"/>
    <w:rsid w:val="000B2A76"/>
    <w:pPr>
      <w:ind w:left="720"/>
    </w:pPr>
  </w:style>
  <w:style w:type="character" w:customStyle="1" w:styleId="BodyTextIndentChar">
    <w:name w:val="Body Text Indent Char"/>
    <w:basedOn w:val="DefaultParagraphFont"/>
    <w:link w:val="BodyTextIndent"/>
    <w:uiPriority w:val="99"/>
    <w:rsid w:val="001F31CA"/>
    <w:rPr>
      <w:sz w:val="24"/>
    </w:rPr>
  </w:style>
  <w:style w:type="character" w:styleId="Strong">
    <w:name w:val="Strong"/>
    <w:basedOn w:val="DefaultParagraphFont"/>
    <w:uiPriority w:val="22"/>
    <w:qFormat/>
    <w:rsid w:val="000055A6"/>
    <w:rPr>
      <w:b/>
      <w:bCs/>
    </w:rPr>
  </w:style>
</w:styles>
</file>

<file path=word/webSettings.xml><?xml version="1.0" encoding="utf-8"?>
<w:webSettings xmlns:r="http://schemas.openxmlformats.org/officeDocument/2006/relationships" xmlns:w="http://schemas.openxmlformats.org/wordprocessingml/2006/main">
  <w:divs>
    <w:div w:id="23403542">
      <w:bodyDiv w:val="1"/>
      <w:marLeft w:val="0"/>
      <w:marRight w:val="0"/>
      <w:marTop w:val="0"/>
      <w:marBottom w:val="0"/>
      <w:divBdr>
        <w:top w:val="none" w:sz="0" w:space="0" w:color="auto"/>
        <w:left w:val="none" w:sz="0" w:space="0" w:color="auto"/>
        <w:bottom w:val="none" w:sz="0" w:space="0" w:color="auto"/>
        <w:right w:val="none" w:sz="0" w:space="0" w:color="auto"/>
      </w:divBdr>
    </w:div>
    <w:div w:id="119543010">
      <w:bodyDiv w:val="1"/>
      <w:marLeft w:val="0"/>
      <w:marRight w:val="0"/>
      <w:marTop w:val="0"/>
      <w:marBottom w:val="0"/>
      <w:divBdr>
        <w:top w:val="none" w:sz="0" w:space="0" w:color="auto"/>
        <w:left w:val="none" w:sz="0" w:space="0" w:color="auto"/>
        <w:bottom w:val="none" w:sz="0" w:space="0" w:color="auto"/>
        <w:right w:val="none" w:sz="0" w:space="0" w:color="auto"/>
      </w:divBdr>
    </w:div>
    <w:div w:id="260375150">
      <w:bodyDiv w:val="1"/>
      <w:marLeft w:val="0"/>
      <w:marRight w:val="0"/>
      <w:marTop w:val="0"/>
      <w:marBottom w:val="0"/>
      <w:divBdr>
        <w:top w:val="none" w:sz="0" w:space="0" w:color="auto"/>
        <w:left w:val="none" w:sz="0" w:space="0" w:color="auto"/>
        <w:bottom w:val="none" w:sz="0" w:space="0" w:color="auto"/>
        <w:right w:val="none" w:sz="0" w:space="0" w:color="auto"/>
      </w:divBdr>
    </w:div>
    <w:div w:id="391390209">
      <w:bodyDiv w:val="1"/>
      <w:marLeft w:val="0"/>
      <w:marRight w:val="0"/>
      <w:marTop w:val="0"/>
      <w:marBottom w:val="0"/>
      <w:divBdr>
        <w:top w:val="none" w:sz="0" w:space="0" w:color="auto"/>
        <w:left w:val="none" w:sz="0" w:space="0" w:color="auto"/>
        <w:bottom w:val="none" w:sz="0" w:space="0" w:color="auto"/>
        <w:right w:val="none" w:sz="0" w:space="0" w:color="auto"/>
      </w:divBdr>
    </w:div>
    <w:div w:id="447167043">
      <w:bodyDiv w:val="1"/>
      <w:marLeft w:val="0"/>
      <w:marRight w:val="0"/>
      <w:marTop w:val="0"/>
      <w:marBottom w:val="0"/>
      <w:divBdr>
        <w:top w:val="none" w:sz="0" w:space="0" w:color="auto"/>
        <w:left w:val="none" w:sz="0" w:space="0" w:color="auto"/>
        <w:bottom w:val="none" w:sz="0" w:space="0" w:color="auto"/>
        <w:right w:val="none" w:sz="0" w:space="0" w:color="auto"/>
      </w:divBdr>
    </w:div>
    <w:div w:id="822619345">
      <w:bodyDiv w:val="1"/>
      <w:marLeft w:val="0"/>
      <w:marRight w:val="0"/>
      <w:marTop w:val="0"/>
      <w:marBottom w:val="0"/>
      <w:divBdr>
        <w:top w:val="none" w:sz="0" w:space="0" w:color="auto"/>
        <w:left w:val="none" w:sz="0" w:space="0" w:color="auto"/>
        <w:bottom w:val="none" w:sz="0" w:space="0" w:color="auto"/>
        <w:right w:val="none" w:sz="0" w:space="0" w:color="auto"/>
      </w:divBdr>
    </w:div>
    <w:div w:id="1013067630">
      <w:bodyDiv w:val="1"/>
      <w:marLeft w:val="0"/>
      <w:marRight w:val="0"/>
      <w:marTop w:val="0"/>
      <w:marBottom w:val="0"/>
      <w:divBdr>
        <w:top w:val="none" w:sz="0" w:space="0" w:color="auto"/>
        <w:left w:val="none" w:sz="0" w:space="0" w:color="auto"/>
        <w:bottom w:val="none" w:sz="0" w:space="0" w:color="auto"/>
        <w:right w:val="none" w:sz="0" w:space="0" w:color="auto"/>
      </w:divBdr>
    </w:div>
    <w:div w:id="1096246788">
      <w:bodyDiv w:val="1"/>
      <w:marLeft w:val="0"/>
      <w:marRight w:val="0"/>
      <w:marTop w:val="0"/>
      <w:marBottom w:val="0"/>
      <w:divBdr>
        <w:top w:val="none" w:sz="0" w:space="0" w:color="auto"/>
        <w:left w:val="none" w:sz="0" w:space="0" w:color="auto"/>
        <w:bottom w:val="none" w:sz="0" w:space="0" w:color="auto"/>
        <w:right w:val="none" w:sz="0" w:space="0" w:color="auto"/>
      </w:divBdr>
    </w:div>
    <w:div w:id="1151867020">
      <w:bodyDiv w:val="1"/>
      <w:marLeft w:val="0"/>
      <w:marRight w:val="0"/>
      <w:marTop w:val="0"/>
      <w:marBottom w:val="0"/>
      <w:divBdr>
        <w:top w:val="none" w:sz="0" w:space="0" w:color="auto"/>
        <w:left w:val="none" w:sz="0" w:space="0" w:color="auto"/>
        <w:bottom w:val="none" w:sz="0" w:space="0" w:color="auto"/>
        <w:right w:val="none" w:sz="0" w:space="0" w:color="auto"/>
      </w:divBdr>
    </w:div>
    <w:div w:id="1181554731">
      <w:bodyDiv w:val="1"/>
      <w:marLeft w:val="0"/>
      <w:marRight w:val="0"/>
      <w:marTop w:val="0"/>
      <w:marBottom w:val="0"/>
      <w:divBdr>
        <w:top w:val="none" w:sz="0" w:space="0" w:color="auto"/>
        <w:left w:val="none" w:sz="0" w:space="0" w:color="auto"/>
        <w:bottom w:val="none" w:sz="0" w:space="0" w:color="auto"/>
        <w:right w:val="none" w:sz="0" w:space="0" w:color="auto"/>
      </w:divBdr>
    </w:div>
    <w:div w:id="1241911841">
      <w:bodyDiv w:val="1"/>
      <w:marLeft w:val="0"/>
      <w:marRight w:val="0"/>
      <w:marTop w:val="0"/>
      <w:marBottom w:val="0"/>
      <w:divBdr>
        <w:top w:val="none" w:sz="0" w:space="0" w:color="auto"/>
        <w:left w:val="none" w:sz="0" w:space="0" w:color="auto"/>
        <w:bottom w:val="none" w:sz="0" w:space="0" w:color="auto"/>
        <w:right w:val="none" w:sz="0" w:space="0" w:color="auto"/>
      </w:divBdr>
    </w:div>
    <w:div w:id="1468352106">
      <w:bodyDiv w:val="1"/>
      <w:marLeft w:val="0"/>
      <w:marRight w:val="0"/>
      <w:marTop w:val="0"/>
      <w:marBottom w:val="0"/>
      <w:divBdr>
        <w:top w:val="none" w:sz="0" w:space="0" w:color="auto"/>
        <w:left w:val="none" w:sz="0" w:space="0" w:color="auto"/>
        <w:bottom w:val="none" w:sz="0" w:space="0" w:color="auto"/>
        <w:right w:val="none" w:sz="0" w:space="0" w:color="auto"/>
      </w:divBdr>
    </w:div>
    <w:div w:id="1580364334">
      <w:bodyDiv w:val="1"/>
      <w:marLeft w:val="0"/>
      <w:marRight w:val="0"/>
      <w:marTop w:val="0"/>
      <w:marBottom w:val="0"/>
      <w:divBdr>
        <w:top w:val="none" w:sz="0" w:space="0" w:color="auto"/>
        <w:left w:val="none" w:sz="0" w:space="0" w:color="auto"/>
        <w:bottom w:val="none" w:sz="0" w:space="0" w:color="auto"/>
        <w:right w:val="none" w:sz="0" w:space="0" w:color="auto"/>
      </w:divBdr>
    </w:div>
    <w:div w:id="1688944878">
      <w:bodyDiv w:val="1"/>
      <w:marLeft w:val="0"/>
      <w:marRight w:val="0"/>
      <w:marTop w:val="0"/>
      <w:marBottom w:val="0"/>
      <w:divBdr>
        <w:top w:val="none" w:sz="0" w:space="0" w:color="auto"/>
        <w:left w:val="none" w:sz="0" w:space="0" w:color="auto"/>
        <w:bottom w:val="none" w:sz="0" w:space="0" w:color="auto"/>
        <w:right w:val="none" w:sz="0" w:space="0" w:color="auto"/>
      </w:divBdr>
    </w:div>
    <w:div w:id="1724330966">
      <w:bodyDiv w:val="1"/>
      <w:marLeft w:val="0"/>
      <w:marRight w:val="0"/>
      <w:marTop w:val="0"/>
      <w:marBottom w:val="0"/>
      <w:divBdr>
        <w:top w:val="none" w:sz="0" w:space="0" w:color="auto"/>
        <w:left w:val="none" w:sz="0" w:space="0" w:color="auto"/>
        <w:bottom w:val="none" w:sz="0" w:space="0" w:color="auto"/>
        <w:right w:val="none" w:sz="0" w:space="0" w:color="auto"/>
      </w:divBdr>
    </w:div>
    <w:div w:id="1868566966">
      <w:bodyDiv w:val="1"/>
      <w:marLeft w:val="0"/>
      <w:marRight w:val="0"/>
      <w:marTop w:val="0"/>
      <w:marBottom w:val="0"/>
      <w:divBdr>
        <w:top w:val="none" w:sz="0" w:space="0" w:color="auto"/>
        <w:left w:val="none" w:sz="0" w:space="0" w:color="auto"/>
        <w:bottom w:val="none" w:sz="0" w:space="0" w:color="auto"/>
        <w:right w:val="none" w:sz="0" w:space="0" w:color="auto"/>
      </w:divBdr>
    </w:div>
    <w:div w:id="1961448231">
      <w:bodyDiv w:val="1"/>
      <w:marLeft w:val="0"/>
      <w:marRight w:val="0"/>
      <w:marTop w:val="0"/>
      <w:marBottom w:val="0"/>
      <w:divBdr>
        <w:top w:val="none" w:sz="0" w:space="0" w:color="auto"/>
        <w:left w:val="none" w:sz="0" w:space="0" w:color="auto"/>
        <w:bottom w:val="none" w:sz="0" w:space="0" w:color="auto"/>
        <w:right w:val="none" w:sz="0" w:space="0" w:color="auto"/>
      </w:divBdr>
    </w:div>
    <w:div w:id="20137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25B27-92A6-4705-95EC-7D399779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12</Pages>
  <Words>3145</Words>
  <Characters>18837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A1</vt:lpstr>
    </vt:vector>
  </TitlesOfParts>
  <Company>MBF Holdings sdn</Company>
  <LinksUpToDate>false</LinksUpToDate>
  <CharactersWithSpaces>21939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dc:title>
  <dc:creator>MBF</dc:creator>
  <cp:lastModifiedBy> </cp:lastModifiedBy>
  <cp:revision>65</cp:revision>
  <cp:lastPrinted>2011-05-27T04:27:00Z</cp:lastPrinted>
  <dcterms:created xsi:type="dcterms:W3CDTF">2011-05-20T08:47:00Z</dcterms:created>
  <dcterms:modified xsi:type="dcterms:W3CDTF">2011-05-27T04:31:00Z</dcterms:modified>
</cp:coreProperties>
</file>